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747C" w14:textId="36B51E68" w:rsidR="00A60A2F" w:rsidRDefault="00A60A2F" w:rsidP="00A60A2F">
      <w:pPr>
        <w:pStyle w:val="Heading1"/>
        <w:rPr>
          <w:rFonts w:ascii="Times New Roman" w:hAnsi="Times New Roman" w:cs="Times New Roman"/>
        </w:rPr>
      </w:pPr>
      <w:r w:rsidRPr="00A60A2F">
        <w:rPr>
          <w:rFonts w:ascii="Times New Roman" w:hAnsi="Times New Roman" w:cs="Times New Roman"/>
        </w:rPr>
        <w:t>Ally Introduction</w:t>
      </w:r>
    </w:p>
    <w:p w14:paraId="648B92BC" w14:textId="12A8756D" w:rsidR="00A60A2F" w:rsidRPr="00A60A2F" w:rsidRDefault="00442FCB" w:rsidP="00A60A2F">
      <w:pPr>
        <w:rPr>
          <w:rFonts w:ascii="Times New Roman" w:hAnsi="Times New Roman" w:cs="Times New Roman"/>
        </w:rPr>
      </w:pPr>
      <w:r>
        <w:t>Ally by Blackboard is an accessibility software that is integrated directly into the Canvas Learning Management System (LMS). It scans all file formats (.doc, .docx, .</w:t>
      </w:r>
      <w:proofErr w:type="spellStart"/>
      <w:r>
        <w:t>png</w:t>
      </w:r>
      <w:proofErr w:type="spellEnd"/>
      <w:r>
        <w:t xml:space="preserve">, PDF, etc.) in a course and produces an accessibility rating for those files. This rating is illustrated in the LMS by a speedometer icon that appears red (poor accessibility rating), yellow (moderate accessibility rating), and green (high accessibility rating).  In addition to providing a rating, or score on the accessibility of any given file format, it also provides the user with step-by-step instructions for remediating the file and replacing all versions of the file within the LMS. </w:t>
      </w:r>
    </w:p>
    <w:p w14:paraId="59892065" w14:textId="77777777" w:rsidR="00A60A2F" w:rsidRDefault="00A60A2F" w:rsidP="00A60A2F">
      <w:pPr>
        <w:pStyle w:val="Heading1"/>
        <w:rPr>
          <w:rFonts w:ascii="Times New Roman" w:hAnsi="Times New Roman" w:cs="Times New Roman"/>
        </w:rPr>
      </w:pPr>
      <w:r w:rsidRPr="00A60A2F">
        <w:rPr>
          <w:rFonts w:ascii="Times New Roman" w:hAnsi="Times New Roman" w:cs="Times New Roman"/>
        </w:rPr>
        <w:t>Level 1 Training Summary</w:t>
      </w:r>
    </w:p>
    <w:p w14:paraId="7CACA452" w14:textId="52D95D9A" w:rsidR="00F64DE4" w:rsidRDefault="00F64DE4" w:rsidP="00F64DE4"/>
    <w:p w14:paraId="4A149071" w14:textId="5DBAF10B" w:rsidR="005E78D6" w:rsidRPr="00F64DE4" w:rsidRDefault="009F781C" w:rsidP="00F64DE4">
      <w:r>
        <w:t xml:space="preserve">The Canvas Course Design Foundations professional development course (Level 1) focuses on the layout and delivery of digital content in the Canvas Learning Management System (LMS). </w:t>
      </w:r>
      <w:r w:rsidR="005E78D6">
        <w:t>A top</w:t>
      </w:r>
      <w:r>
        <w:t xml:space="preserve"> </w:t>
      </w:r>
      <w:r w:rsidR="005E78D6">
        <w:t>priority</w:t>
      </w:r>
      <w:r>
        <w:t xml:space="preserve"> of this program </w:t>
      </w:r>
      <w:r w:rsidR="005E78D6">
        <w:t>is</w:t>
      </w:r>
      <w:r>
        <w:t xml:space="preserve"> to ensure </w:t>
      </w:r>
      <w:r w:rsidR="005E78D6">
        <w:t xml:space="preserve">that </w:t>
      </w:r>
      <w:r>
        <w:t xml:space="preserve">content </w:t>
      </w:r>
      <w:r w:rsidR="005E78D6">
        <w:t>delivery in the LMS is</w:t>
      </w:r>
      <w:r>
        <w:t xml:space="preserve"> consistently, logically, and accessibly provided to all learners. </w:t>
      </w:r>
      <w:r w:rsidR="005E78D6">
        <w:t xml:space="preserve">For the purposes of the Ally Study, we focused on the following Level 1 Learning Objective: </w:t>
      </w:r>
      <w:r w:rsidR="005E78D6" w:rsidRPr="005E78D6">
        <w:rPr>
          <w:b/>
          <w:bCs/>
        </w:rPr>
        <w:t>To create accessible Canvas pages, assignments, discussion, and quizzes</w:t>
      </w:r>
      <w:r w:rsidR="005E78D6">
        <w:t xml:space="preserve">. Participants in this program, whom primarily completed the course in Summer, 2020, learned how to create content in an accessible format using the tools in the Canva Rich Content Editor, submitted samples, and received feedback from CTET Staff and course facilitators. </w:t>
      </w:r>
    </w:p>
    <w:p w14:paraId="0628D1A2" w14:textId="77777777" w:rsidR="00A60A2F" w:rsidRPr="00A60A2F" w:rsidRDefault="00A60A2F" w:rsidP="00A60A2F">
      <w:pPr>
        <w:pStyle w:val="Heading1"/>
        <w:rPr>
          <w:rFonts w:ascii="Times New Roman" w:hAnsi="Times New Roman" w:cs="Times New Roman"/>
        </w:rPr>
      </w:pPr>
      <w:r w:rsidRPr="00A60A2F">
        <w:rPr>
          <w:rFonts w:ascii="Times New Roman" w:hAnsi="Times New Roman" w:cs="Times New Roman"/>
        </w:rPr>
        <w:t>Methods</w:t>
      </w:r>
    </w:p>
    <w:p w14:paraId="66FEE06F" w14:textId="77777777" w:rsidR="00C20A0B" w:rsidRDefault="00A60A2F" w:rsidP="00C20A0B">
      <w:pPr>
        <w:rPr>
          <w:rFonts w:ascii="Times New Roman" w:hAnsi="Times New Roman" w:cs="Times New Roman"/>
        </w:rPr>
      </w:pPr>
      <w:r>
        <w:rPr>
          <w:rFonts w:ascii="Times New Roman" w:hAnsi="Times New Roman" w:cs="Times New Roman"/>
        </w:rPr>
        <w:t xml:space="preserve">Overall Ally </w:t>
      </w:r>
      <w:proofErr w:type="gramStart"/>
      <w:r>
        <w:rPr>
          <w:rFonts w:ascii="Times New Roman" w:hAnsi="Times New Roman" w:cs="Times New Roman"/>
        </w:rPr>
        <w:t>Scores</w:t>
      </w:r>
      <w:r w:rsidR="00C20A0B">
        <w:rPr>
          <w:rFonts w:ascii="Times New Roman" w:hAnsi="Times New Roman" w:cs="Times New Roman"/>
        </w:rPr>
        <w:t>(</w:t>
      </w:r>
      <w:proofErr w:type="gramEnd"/>
      <w:r w:rsidR="00C20A0B">
        <w:rPr>
          <w:rFonts w:ascii="Times New Roman" w:hAnsi="Times New Roman" w:cs="Times New Roman"/>
        </w:rPr>
        <w:t>OAS)</w:t>
      </w:r>
      <w:r>
        <w:rPr>
          <w:rFonts w:ascii="Times New Roman" w:hAnsi="Times New Roman" w:cs="Times New Roman"/>
        </w:rPr>
        <w:t xml:space="preserve"> were collected for all courses taught in F19 and F20.</w:t>
      </w:r>
      <w:r w:rsidR="00C20A0B">
        <w:rPr>
          <w:rFonts w:ascii="Times New Roman" w:hAnsi="Times New Roman" w:cs="Times New Roman"/>
        </w:rPr>
        <w:t xml:space="preserve"> To compare changes in OAS we selected courses that were taught by a single instructor, with that instructor teaching the same named course in both F19 and F20. To be sure that we were on looking at courses that were using the Canvas platform in some capacity we additionally filtered out courses that had 0 students, contained 0 course pages, or contained 0 course files.</w:t>
      </w:r>
    </w:p>
    <w:p w14:paraId="5AF4DF16" w14:textId="37B19453" w:rsidR="00C20A0B" w:rsidRDefault="00C20A0B" w:rsidP="00C20A0B">
      <w:pPr>
        <w:rPr>
          <w:rFonts w:ascii="Times New Roman" w:eastAsiaTheme="minorEastAsia" w:hAnsi="Times New Roman" w:cs="Times New Roman"/>
        </w:rPr>
      </w:pPr>
      <w:r>
        <w:rPr>
          <w:rFonts w:ascii="Times New Roman" w:hAnsi="Times New Roman" w:cs="Times New Roman"/>
        </w:rPr>
        <w:t xml:space="preserve">Pairing F19/F20 courses </w:t>
      </w:r>
      <w:r w:rsidR="00DC23B8">
        <w:rPr>
          <w:rFonts w:ascii="Times New Roman" w:hAnsi="Times New Roman" w:cs="Times New Roman"/>
        </w:rPr>
        <w:t xml:space="preserve">with the same name, taught by the same instructor each term, </w:t>
      </w:r>
      <w:r>
        <w:rPr>
          <w:rFonts w:ascii="Times New Roman" w:hAnsi="Times New Roman" w:cs="Times New Roman"/>
        </w:rPr>
        <w:t>we measured the difference in OAS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r>
          <w:rPr>
            <w:rFonts w:ascii="Cambria Math" w:hAnsi="Cambria Math" w:cs="Times New Roman"/>
          </w:rPr>
          <m:t>=OA</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F20</m:t>
            </m:r>
          </m:sub>
        </m:sSub>
        <m:r>
          <w:rPr>
            <w:rFonts w:ascii="Cambria Math" w:hAnsi="Cambria Math" w:cs="Times New Roman"/>
          </w:rPr>
          <m:t>-OA</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F19</m:t>
            </m:r>
          </m:sub>
        </m:sSub>
      </m:oMath>
      <w:r w:rsidR="00F64DE4">
        <w:rPr>
          <w:rFonts w:ascii="Times New Roman" w:eastAsiaTheme="minorEastAsia" w:hAnsi="Times New Roman" w:cs="Times New Roman"/>
        </w:rPr>
        <w:t xml:space="preserve">) between </w:t>
      </w:r>
      <w:r w:rsidR="00DC23B8">
        <w:rPr>
          <w:rFonts w:ascii="Times New Roman" w:eastAsiaTheme="minorEastAsia" w:hAnsi="Times New Roman" w:cs="Times New Roman"/>
        </w:rPr>
        <w:t xml:space="preserve">the </w:t>
      </w:r>
      <w:r w:rsidR="00F64DE4">
        <w:rPr>
          <w:rFonts w:ascii="Times New Roman" w:eastAsiaTheme="minorEastAsia" w:hAnsi="Times New Roman" w:cs="Times New Roman"/>
        </w:rPr>
        <w:t xml:space="preserve">two </w:t>
      </w:r>
      <w:r w:rsidR="00DC23B8">
        <w:rPr>
          <w:rFonts w:ascii="Times New Roman" w:eastAsiaTheme="minorEastAsia" w:hAnsi="Times New Roman" w:cs="Times New Roman"/>
        </w:rPr>
        <w:t>courses</w:t>
      </w:r>
      <w:r w:rsidR="00F64DE4">
        <w:rPr>
          <w:rFonts w:ascii="Times New Roman" w:eastAsiaTheme="minorEastAsia" w:hAnsi="Times New Roman" w:cs="Times New Roman"/>
        </w:rPr>
        <w:t>.</w:t>
      </w:r>
      <w:r w:rsidR="00DC23B8">
        <w:rPr>
          <w:rFonts w:ascii="Times New Roman" w:eastAsiaTheme="minorEastAsia" w:hAnsi="Times New Roman" w:cs="Times New Roman"/>
        </w:rPr>
        <w:t xml:space="preserve"> We then compared </w:t>
      </w:r>
      <m:oMath>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OAS</m:t>
            </m:r>
          </m:sub>
        </m:sSub>
      </m:oMath>
      <w:r w:rsidR="00DC23B8">
        <w:rPr>
          <w:rFonts w:ascii="Times New Roman" w:eastAsiaTheme="minorEastAsia" w:hAnsi="Times New Roman" w:cs="Times New Roman"/>
        </w:rPr>
        <w:t xml:space="preserve"> between two groups of course pairings.</w:t>
      </w:r>
      <w:r w:rsidR="00F64DE4">
        <w:rPr>
          <w:rFonts w:ascii="Times New Roman" w:eastAsiaTheme="minorEastAsia" w:hAnsi="Times New Roman" w:cs="Times New Roman"/>
        </w:rPr>
        <w:t xml:space="preserve"> Group 1 consisted of</w:t>
      </w:r>
      <w:r w:rsidR="00B01CE8">
        <w:rPr>
          <w:rFonts w:ascii="Times New Roman" w:eastAsiaTheme="minorEastAsia" w:hAnsi="Times New Roman" w:cs="Times New Roman"/>
        </w:rPr>
        <w:t xml:space="preserve"> 128</w:t>
      </w:r>
      <w:r w:rsidR="00F64DE4">
        <w:rPr>
          <w:rFonts w:ascii="Times New Roman" w:eastAsiaTheme="minorEastAsia" w:hAnsi="Times New Roman" w:cs="Times New Roman"/>
        </w:rPr>
        <w:t xml:space="preserve"> F19/F20 course pairings from faculty that had taken the Level 1 training in Summer 2020. Group 2 consisted of</w:t>
      </w:r>
      <w:r w:rsidR="00B01CE8">
        <w:rPr>
          <w:rFonts w:ascii="Times New Roman" w:eastAsiaTheme="minorEastAsia" w:hAnsi="Times New Roman" w:cs="Times New Roman"/>
        </w:rPr>
        <w:t xml:space="preserve"> 237</w:t>
      </w:r>
      <w:r w:rsidR="00F64DE4">
        <w:rPr>
          <w:rFonts w:ascii="Times New Roman" w:eastAsiaTheme="minorEastAsia" w:hAnsi="Times New Roman" w:cs="Times New Roman"/>
        </w:rPr>
        <w:t xml:space="preserve"> </w:t>
      </w:r>
      <w:r w:rsidR="00DC23B8">
        <w:rPr>
          <w:rFonts w:ascii="Times New Roman" w:eastAsiaTheme="minorEastAsia" w:hAnsi="Times New Roman" w:cs="Times New Roman"/>
        </w:rPr>
        <w:t xml:space="preserve">F19/F20 course pairings from </w:t>
      </w:r>
      <w:r w:rsidR="00F64DE4">
        <w:rPr>
          <w:rFonts w:ascii="Times New Roman" w:eastAsiaTheme="minorEastAsia" w:hAnsi="Times New Roman" w:cs="Times New Roman"/>
        </w:rPr>
        <w:t>all other faculty.</w:t>
      </w:r>
    </w:p>
    <w:p w14:paraId="7F1F23E2" w14:textId="3B21A98B" w:rsidR="00F64DE4" w:rsidRPr="00C20A0B" w:rsidRDefault="0082672E" w:rsidP="00C20A0B">
      <w:pPr>
        <w:rPr>
          <w:rFonts w:ascii="Times New Roman" w:hAnsi="Times New Roman" w:cs="Times New Roman"/>
        </w:rPr>
      </w:pPr>
      <w:r>
        <w:rPr>
          <w:rFonts w:ascii="Times New Roman" w:hAnsi="Times New Roman" w:cs="Times New Roman"/>
        </w:rPr>
        <w:t>To compare these groups, a</w:t>
      </w:r>
      <w:r w:rsidR="00454C12">
        <w:rPr>
          <w:rFonts w:ascii="Times New Roman" w:hAnsi="Times New Roman" w:cs="Times New Roman"/>
        </w:rPr>
        <w:t xml:space="preserve"> </w:t>
      </w:r>
      <w:r w:rsidR="00B137DD">
        <w:rPr>
          <w:rFonts w:ascii="Times New Roman" w:hAnsi="Times New Roman" w:cs="Times New Roman"/>
        </w:rPr>
        <w:t>hypothesis test for a difference</w:t>
      </w:r>
      <w:r w:rsidR="00376EA5">
        <w:rPr>
          <w:rFonts w:ascii="Times New Roman" w:hAnsi="Times New Roman" w:cs="Times New Roman"/>
        </w:rPr>
        <w:t xml:space="preserve"> of the mean difference</w:t>
      </w:r>
      <w:r w:rsidR="00FB0F00">
        <w:rPr>
          <w:rFonts w:ascii="Times New Roman" w:hAnsi="Times New Roman" w:cs="Times New Roman"/>
        </w:rPr>
        <w:t>s</w:t>
      </w:r>
      <w:r w:rsidR="00376EA5">
        <w:rPr>
          <w:rFonts w:ascii="Times New Roman" w:hAnsi="Times New Roman" w:cs="Times New Roman"/>
        </w:rPr>
        <w:t xml:space="preserve"> in OAS</w:t>
      </w:r>
      <w:r w:rsidR="00454C12">
        <w:rPr>
          <w:rFonts w:ascii="Times New Roman" w:hAnsi="Times New Roman" w:cs="Times New Roman"/>
        </w:rPr>
        <w:t xml:space="preserve"> between the two groups</w:t>
      </w:r>
      <w:r w:rsidR="00376EA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μ</m:t>
            </m:r>
          </m:e>
          <m:sub>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r>
              <w:rPr>
                <w:rFonts w:ascii="Cambria Math" w:hAnsi="Cambria Math" w:cs="Times New Roman"/>
              </w:rPr>
              <m:t>,2</m:t>
            </m:r>
          </m:sub>
        </m:sSub>
      </m:oMath>
      <w:r w:rsidR="00376EA5">
        <w:rPr>
          <w:rFonts w:ascii="Times New Roman" w:eastAsiaTheme="minorEastAsia" w:hAnsi="Times New Roman" w:cs="Times New Roman"/>
        </w:rPr>
        <w:t>) was performed</w:t>
      </w:r>
      <w:r w:rsidR="00454C12">
        <w:rPr>
          <w:rFonts w:ascii="Times New Roman" w:hAnsi="Times New Roman" w:cs="Times New Roman"/>
        </w:rPr>
        <w:t xml:space="preserve"> with a test of homogeneity of variance to confirm that the two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oMath>
      <w:r w:rsidR="00376EA5">
        <w:rPr>
          <w:rFonts w:ascii="Times New Roman" w:eastAsiaTheme="minorEastAsia" w:hAnsi="Times New Roman" w:cs="Times New Roman"/>
        </w:rPr>
        <w:t xml:space="preserve"> distributions were comparable.</w:t>
      </w:r>
    </w:p>
    <w:p w14:paraId="3EE256E4" w14:textId="07AD32BA" w:rsidR="007D561E" w:rsidRDefault="00A60A2F" w:rsidP="007D561E">
      <w:pPr>
        <w:pStyle w:val="Heading1"/>
        <w:rPr>
          <w:rFonts w:ascii="Times New Roman" w:hAnsi="Times New Roman" w:cs="Times New Roman"/>
        </w:rPr>
      </w:pPr>
      <w:r w:rsidRPr="00A60A2F">
        <w:rPr>
          <w:rFonts w:ascii="Times New Roman" w:hAnsi="Times New Roman" w:cs="Times New Roman"/>
        </w:rPr>
        <w:t>Results</w:t>
      </w:r>
    </w:p>
    <w:p w14:paraId="1A7FB4CE" w14:textId="77777777" w:rsidR="007D561E" w:rsidRPr="007D561E" w:rsidRDefault="007D561E" w:rsidP="007D561E"/>
    <w:p w14:paraId="58349054" w14:textId="7DB8AE72" w:rsidR="00A60A2F" w:rsidRDefault="00376EA5" w:rsidP="00A60A2F">
      <w:pPr>
        <w:rPr>
          <w:rFonts w:ascii="Times New Roman" w:eastAsiaTheme="minorEastAsia" w:hAnsi="Times New Roman" w:cs="Times New Roman"/>
        </w:rPr>
      </w:pPr>
      <w:r>
        <w:rPr>
          <w:rFonts w:ascii="Times New Roman" w:hAnsi="Times New Roman" w:cs="Times New Roman"/>
        </w:rPr>
        <w:t>The trained faculty group</w:t>
      </w:r>
      <w:r w:rsidR="00DC23B8">
        <w:rPr>
          <w:rFonts w:ascii="Times New Roman" w:hAnsi="Times New Roman" w:cs="Times New Roman"/>
        </w:rPr>
        <w:t xml:space="preserve"> </w:t>
      </w:r>
      <w:r w:rsidR="00CC57C6">
        <w:rPr>
          <w:rFonts w:ascii="Times New Roman" w:hAnsi="Times New Roman" w:cs="Times New Roman"/>
        </w:rPr>
        <w:t xml:space="preserve">had a mean increase </w:t>
      </w:r>
      <w:r>
        <w:rPr>
          <w:rFonts w:ascii="Times New Roman" w:hAnsi="Times New Roman" w:cs="Times New Roman"/>
        </w:rPr>
        <w:t xml:space="preserve">OAS of </w:t>
      </w:r>
      <m:oMath>
        <m:sSub>
          <m:sSubPr>
            <m:ctrlPr>
              <w:rPr>
                <w:rFonts w:ascii="Cambria Math" w:hAnsi="Cambria Math" w:cs="Times New Roman"/>
                <w:i/>
              </w:rPr>
            </m:ctrlPr>
          </m:sSubPr>
          <m:e>
            <m:r>
              <w:rPr>
                <w:rFonts w:ascii="Cambria Math" w:hAnsi="Cambria Math" w:cs="Times New Roman"/>
              </w:rPr>
              <m:t>μ</m:t>
            </m:r>
          </m:e>
          <m:sub>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r>
              <w:rPr>
                <w:rFonts w:ascii="Cambria Math" w:hAnsi="Cambria Math" w:cs="Times New Roman"/>
              </w:rPr>
              <m:t>,1</m:t>
            </m:r>
          </m:sub>
        </m:sSub>
        <m:r>
          <w:rPr>
            <w:rFonts w:ascii="Cambria Math" w:hAnsi="Cambria Math" w:cs="Times New Roman"/>
          </w:rPr>
          <m:t>=17.9%</m:t>
        </m:r>
      </m:oMath>
      <w:r>
        <w:rPr>
          <w:rFonts w:ascii="Times New Roman" w:eastAsiaTheme="minorEastAsia" w:hAnsi="Times New Roman" w:cs="Times New Roman"/>
        </w:rPr>
        <w:t xml:space="preserve"> </w:t>
      </w:r>
      <w:r w:rsidR="00CC57C6">
        <w:rPr>
          <w:rFonts w:ascii="Times New Roman" w:eastAsiaTheme="minorEastAsia" w:hAnsi="Times New Roman" w:cs="Times New Roman"/>
        </w:rPr>
        <w:t xml:space="preserve">between their F19 and F20 courses with the same name, </w:t>
      </w:r>
      <w:r>
        <w:rPr>
          <w:rFonts w:ascii="Times New Roman" w:eastAsiaTheme="minorEastAsia" w:hAnsi="Times New Roman" w:cs="Times New Roman"/>
        </w:rPr>
        <w:t>while the other faculty group saw a</w:t>
      </w:r>
      <w:r w:rsidR="00CC57C6">
        <w:rPr>
          <w:rFonts w:ascii="Times New Roman" w:eastAsiaTheme="minorEastAsia" w:hAnsi="Times New Roman" w:cs="Times New Roman"/>
        </w:rPr>
        <w:t xml:space="preserve"> mean</w:t>
      </w:r>
      <w:r w:rsidR="00F829DA">
        <w:rPr>
          <w:rFonts w:ascii="Times New Roman" w:eastAsiaTheme="minorEastAsia" w:hAnsi="Times New Roman" w:cs="Times New Roman"/>
        </w:rPr>
        <w:t xml:space="preserve"> increase</w:t>
      </w:r>
      <w:r>
        <w:rPr>
          <w:rFonts w:ascii="Times New Roman" w:eastAsiaTheme="minorEastAsia" w:hAnsi="Times New Roman" w:cs="Times New Roman"/>
        </w:rPr>
        <w:t xml:space="preserve"> OAS of </w:t>
      </w:r>
      <m:oMath>
        <m:sSub>
          <m:sSubPr>
            <m:ctrlPr>
              <w:rPr>
                <w:rFonts w:ascii="Cambria Math" w:hAnsi="Cambria Math" w:cs="Times New Roman"/>
                <w:i/>
              </w:rPr>
            </m:ctrlPr>
          </m:sSubPr>
          <m:e>
            <m:r>
              <w:rPr>
                <w:rFonts w:ascii="Cambria Math" w:hAnsi="Cambria Math" w:cs="Times New Roman"/>
              </w:rPr>
              <m:t>μ</m:t>
            </m:r>
          </m:e>
          <m:sub>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r>
              <w:rPr>
                <w:rFonts w:ascii="Cambria Math" w:hAnsi="Cambria Math" w:cs="Times New Roman"/>
              </w:rPr>
              <m:t>,2</m:t>
            </m:r>
          </m:sub>
        </m:sSub>
        <m:r>
          <w:rPr>
            <w:rFonts w:ascii="Cambria Math" w:eastAsiaTheme="minorEastAsia" w:hAnsi="Cambria Math" w:cs="Times New Roman"/>
          </w:rPr>
          <m:t>=5.2%</m:t>
        </m:r>
      </m:oMath>
      <w:r w:rsidR="00A8674E">
        <w:rPr>
          <w:rFonts w:ascii="Times New Roman" w:eastAsiaTheme="minorEastAsia" w:hAnsi="Times New Roman" w:cs="Times New Roman"/>
        </w:rPr>
        <w:t xml:space="preserve"> between their F19 and F20 courses with the same name (Fig. 1)</w:t>
      </w:r>
      <w:r>
        <w:rPr>
          <w:rFonts w:ascii="Times New Roman" w:eastAsiaTheme="minorEastAsia" w:hAnsi="Times New Roman" w:cs="Times New Roman"/>
        </w:rPr>
        <w:t xml:space="preserve">. </w:t>
      </w:r>
      <w:r w:rsidR="00AD61F1">
        <w:rPr>
          <w:rFonts w:ascii="Times New Roman" w:eastAsiaTheme="minorEastAsia" w:hAnsi="Times New Roman" w:cs="Times New Roman"/>
        </w:rPr>
        <w:t xml:space="preserve">This difference of 12.7% is significantly </w:t>
      </w:r>
      <w:r w:rsidR="00AD61F1">
        <w:rPr>
          <w:rFonts w:ascii="Times New Roman" w:eastAsiaTheme="minorEastAsia" w:hAnsi="Times New Roman" w:cs="Times New Roman"/>
        </w:rPr>
        <w:lastRenderedPageBreak/>
        <w:t>greater than no difference (</w:t>
      </w:r>
      <m:oMath>
        <m:r>
          <w:rPr>
            <w:rFonts w:ascii="Cambria Math" w:eastAsiaTheme="minorEastAsia" w:hAnsi="Cambria Math" w:cs="Times New Roman"/>
          </w:rPr>
          <m:t>p&lt;0.001)</m:t>
        </m:r>
      </m:oMath>
      <w:r w:rsidR="00AD61F1">
        <w:rPr>
          <w:rFonts w:ascii="Times New Roman" w:eastAsiaTheme="minorEastAsia" w:hAnsi="Times New Roman" w:cs="Times New Roman"/>
        </w:rPr>
        <w:t xml:space="preserve">. </w:t>
      </w:r>
      <w:r>
        <w:rPr>
          <w:rFonts w:ascii="Times New Roman" w:eastAsiaTheme="minorEastAsia" w:hAnsi="Times New Roman" w:cs="Times New Roman"/>
        </w:rPr>
        <w:t>The</w:t>
      </w:r>
      <w:r w:rsidR="00CC57C6">
        <w:rPr>
          <w:rFonts w:ascii="Times New Roman" w:eastAsiaTheme="minorEastAsia" w:hAnsi="Times New Roman" w:cs="Times New Roman"/>
        </w:rPr>
        <w:t xml:space="preserve"> </w:t>
      </w:r>
      <w:r w:rsidR="00A8674E">
        <w:rPr>
          <w:rFonts w:ascii="Times New Roman" w:eastAsiaTheme="minorEastAsia" w:hAnsi="Times New Roman" w:cs="Times New Roman"/>
        </w:rPr>
        <w:t>trained faculty grou</w:t>
      </w:r>
      <w:r w:rsidR="00DC23B8">
        <w:rPr>
          <w:rFonts w:ascii="Times New Roman" w:eastAsiaTheme="minorEastAsia" w:hAnsi="Times New Roman" w:cs="Times New Roman"/>
        </w:rPr>
        <w:t xml:space="preserve">p course pairings </w:t>
      </w:r>
      <w:r w:rsidR="00A8674E">
        <w:rPr>
          <w:rFonts w:ascii="Times New Roman" w:eastAsiaTheme="minorEastAsia" w:hAnsi="Times New Roman" w:cs="Times New Roman"/>
        </w:rPr>
        <w:t xml:space="preserve">increase in OAS on average was </w:t>
      </w:r>
      <w:r w:rsidR="00B01CE8">
        <w:rPr>
          <w:rFonts w:ascii="Times New Roman" w:eastAsiaTheme="minorEastAsia" w:hAnsi="Times New Roman" w:cs="Times New Roman"/>
        </w:rPr>
        <w:t xml:space="preserve">over </w:t>
      </w:r>
      <w:r w:rsidR="00A8674E">
        <w:rPr>
          <w:rFonts w:ascii="Times New Roman" w:eastAsiaTheme="minorEastAsia" w:hAnsi="Times New Roman" w:cs="Times New Roman"/>
        </w:rPr>
        <w:t>3 times that of the other faculty group.</w:t>
      </w:r>
    </w:p>
    <w:p w14:paraId="61D6FABB" w14:textId="18854A16" w:rsidR="00B01CE8" w:rsidRDefault="00B01CE8" w:rsidP="00B01CE8">
      <w:pPr>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4C77F6E6" wp14:editId="700FD871">
            <wp:extent cx="4104971" cy="269946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ed Vs Others Difference in Means.png"/>
                    <pic:cNvPicPr/>
                  </pic:nvPicPr>
                  <pic:blipFill>
                    <a:blip r:embed="rId6">
                      <a:extLst>
                        <a:ext uri="{28A0092B-C50C-407E-A947-70E740481C1C}">
                          <a14:useLocalDpi xmlns:a14="http://schemas.microsoft.com/office/drawing/2010/main" val="0"/>
                        </a:ext>
                      </a:extLst>
                    </a:blip>
                    <a:stretch>
                      <a:fillRect/>
                    </a:stretch>
                  </pic:blipFill>
                  <pic:spPr>
                    <a:xfrm>
                      <a:off x="0" y="0"/>
                      <a:ext cx="4117997" cy="2708030"/>
                    </a:xfrm>
                    <a:prstGeom prst="rect">
                      <a:avLst/>
                    </a:prstGeom>
                  </pic:spPr>
                </pic:pic>
              </a:graphicData>
            </a:graphic>
          </wp:inline>
        </w:drawing>
      </w:r>
    </w:p>
    <w:p w14:paraId="7391C260" w14:textId="77777777" w:rsidR="00DC23B8" w:rsidRDefault="00DC23B8" w:rsidP="00DC23B8">
      <w:pPr>
        <w:jc w:val="center"/>
        <w:rPr>
          <w:rFonts w:ascii="Times New Roman" w:eastAsiaTheme="minorEastAsia" w:hAnsi="Times New Roman" w:cs="Times New Roman"/>
        </w:rPr>
      </w:pPr>
      <w:r>
        <w:rPr>
          <w:rFonts w:ascii="Times New Roman" w:hAnsi="Times New Roman" w:cs="Times New Roman"/>
        </w:rPr>
        <w:t xml:space="preserve">Figure 1: Distribution of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oMath>
      <w:r>
        <w:rPr>
          <w:rFonts w:ascii="Times New Roman" w:eastAsiaTheme="minorEastAsia" w:hAnsi="Times New Roman" w:cs="Times New Roman"/>
        </w:rPr>
        <w:t xml:space="preserve"> for both the trained faculty and other faculty</w:t>
      </w:r>
    </w:p>
    <w:p w14:paraId="39DAD13D" w14:textId="77777777" w:rsidR="00DC23B8" w:rsidRPr="00A60A2F" w:rsidRDefault="00DC23B8" w:rsidP="00DC23B8">
      <w:pPr>
        <w:rPr>
          <w:rFonts w:ascii="Times New Roman" w:hAnsi="Times New Roman" w:cs="Times New Roman"/>
        </w:rPr>
      </w:pPr>
      <w:r>
        <w:rPr>
          <w:rFonts w:ascii="Times New Roman" w:hAnsi="Times New Roman" w:cs="Times New Roman"/>
        </w:rPr>
        <w:t xml:space="preserve">A test of homogeneity of variance was performed and successful, confirming that the two distributions were similar enough to compare </w:t>
      </w:r>
      <m:oMath>
        <m:sSub>
          <m:sSubPr>
            <m:ctrlPr>
              <w:rPr>
                <w:rFonts w:ascii="Cambria Math" w:hAnsi="Cambria Math" w:cs="Times New Roman"/>
                <w:i/>
              </w:rPr>
            </m:ctrlPr>
          </m:sSubPr>
          <m:e>
            <m:r>
              <w:rPr>
                <w:rFonts w:ascii="Cambria Math" w:hAnsi="Cambria Math" w:cs="Times New Roman"/>
              </w:rPr>
              <m:t>μ</m:t>
            </m:r>
          </m:e>
          <m:sub>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OAS</m:t>
                </m:r>
              </m:sub>
            </m:sSub>
          </m:sub>
        </m:sSub>
      </m:oMath>
      <w:r>
        <w:rPr>
          <w:rFonts w:ascii="Times New Roman" w:eastAsiaTheme="minorEastAsia" w:hAnsi="Times New Roman" w:cs="Times New Roman"/>
        </w:rPr>
        <w:t xml:space="preserve"> between the two groups.</w:t>
      </w:r>
    </w:p>
    <w:p w14:paraId="1A99EE73" w14:textId="77777777" w:rsidR="00A60A2F" w:rsidRDefault="00A60A2F" w:rsidP="00A60A2F">
      <w:pPr>
        <w:pStyle w:val="Heading1"/>
        <w:rPr>
          <w:rFonts w:ascii="Times New Roman" w:hAnsi="Times New Roman" w:cs="Times New Roman"/>
        </w:rPr>
      </w:pPr>
      <w:r w:rsidRPr="00A60A2F">
        <w:rPr>
          <w:rFonts w:ascii="Times New Roman" w:hAnsi="Times New Roman" w:cs="Times New Roman"/>
        </w:rPr>
        <w:t>Discussion</w:t>
      </w:r>
    </w:p>
    <w:p w14:paraId="1E5D6ABA" w14:textId="55A9002F" w:rsidR="00F64DE4" w:rsidRDefault="00DC23B8" w:rsidP="00F64DE4">
      <w:r>
        <w:t xml:space="preserve">The retooling of courses to accommodate a remote modality for Fall 2020 by faculty </w:t>
      </w:r>
      <w:r w:rsidR="00C63311">
        <w:t xml:space="preserve">was an enormous task. </w:t>
      </w:r>
      <w:r w:rsidR="00833FB2">
        <w:t>Canvas as a pl</w:t>
      </w:r>
      <w:r w:rsidR="00087F0A">
        <w:t>atform saw double the weekly page view between F19 and F20…</w:t>
      </w:r>
    </w:p>
    <w:p w14:paraId="4F78F2C7" w14:textId="7FFB629A" w:rsidR="00F4020D" w:rsidRDefault="007D561E" w:rsidP="00F64DE4">
      <w:r>
        <w:t>Faculty within the training were guided to work on content in an existing course that they were planning to teach in the Fall.</w:t>
      </w:r>
    </w:p>
    <w:p w14:paraId="6A02AD05" w14:textId="0336C864" w:rsidR="007D561E" w:rsidRPr="00F64DE4" w:rsidRDefault="007D561E" w:rsidP="00F64DE4">
      <w:r>
        <w:t>Courses taught by the untrained faculty were more likely to have imported existing content over from a previous term, instead focusing their course development on new courses they had not developed as much.</w:t>
      </w:r>
    </w:p>
    <w:sectPr w:rsidR="007D561E" w:rsidRPr="00F6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265"/>
    <w:multiLevelType w:val="multilevel"/>
    <w:tmpl w:val="1FAAFC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74FE"/>
    <w:multiLevelType w:val="multilevel"/>
    <w:tmpl w:val="2710DA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00A32"/>
    <w:multiLevelType w:val="hybridMultilevel"/>
    <w:tmpl w:val="B4B2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A3BFF"/>
    <w:multiLevelType w:val="hybridMultilevel"/>
    <w:tmpl w:val="59B85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2986211">
    <w:abstractNumId w:val="2"/>
  </w:num>
  <w:num w:numId="2" w16cid:durableId="1096948044">
    <w:abstractNumId w:val="3"/>
  </w:num>
  <w:num w:numId="3" w16cid:durableId="1980376134">
    <w:abstractNumId w:val="1"/>
  </w:num>
  <w:num w:numId="4" w16cid:durableId="169681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2F"/>
    <w:rsid w:val="00087F0A"/>
    <w:rsid w:val="00096559"/>
    <w:rsid w:val="0028646D"/>
    <w:rsid w:val="00333600"/>
    <w:rsid w:val="00376EA5"/>
    <w:rsid w:val="00442FCB"/>
    <w:rsid w:val="00454C12"/>
    <w:rsid w:val="0047792D"/>
    <w:rsid w:val="0051057E"/>
    <w:rsid w:val="005E78D6"/>
    <w:rsid w:val="007D561E"/>
    <w:rsid w:val="007E6D23"/>
    <w:rsid w:val="0082672E"/>
    <w:rsid w:val="00833FB2"/>
    <w:rsid w:val="00857D39"/>
    <w:rsid w:val="009F781C"/>
    <w:rsid w:val="00A60A2F"/>
    <w:rsid w:val="00A8674E"/>
    <w:rsid w:val="00AD61F1"/>
    <w:rsid w:val="00B01CE8"/>
    <w:rsid w:val="00B137DD"/>
    <w:rsid w:val="00C20A0B"/>
    <w:rsid w:val="00C63311"/>
    <w:rsid w:val="00CC57C6"/>
    <w:rsid w:val="00D462B6"/>
    <w:rsid w:val="00DC23B8"/>
    <w:rsid w:val="00E70EBA"/>
    <w:rsid w:val="00F4020D"/>
    <w:rsid w:val="00F64DE4"/>
    <w:rsid w:val="00F829DA"/>
    <w:rsid w:val="00FB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7571"/>
  <w15:chartTrackingRefBased/>
  <w15:docId w15:val="{20D7C9BF-C0B5-40B0-B74A-CC70FE4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2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6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A2F"/>
    <w:pPr>
      <w:ind w:left="720"/>
      <w:contextualSpacing/>
    </w:pPr>
  </w:style>
  <w:style w:type="character" w:styleId="PlaceholderText">
    <w:name w:val="Placeholder Text"/>
    <w:basedOn w:val="DefaultParagraphFont"/>
    <w:uiPriority w:val="99"/>
    <w:semiHidden/>
    <w:rsid w:val="00C20A0B"/>
    <w:rPr>
      <w:color w:val="808080"/>
    </w:rPr>
  </w:style>
  <w:style w:type="character" w:styleId="CommentReference">
    <w:name w:val="annotation reference"/>
    <w:basedOn w:val="DefaultParagraphFont"/>
    <w:uiPriority w:val="99"/>
    <w:semiHidden/>
    <w:unhideWhenUsed/>
    <w:rsid w:val="00F64DE4"/>
    <w:rPr>
      <w:sz w:val="16"/>
      <w:szCs w:val="16"/>
    </w:rPr>
  </w:style>
  <w:style w:type="paragraph" w:styleId="CommentText">
    <w:name w:val="annotation text"/>
    <w:basedOn w:val="Normal"/>
    <w:link w:val="CommentTextChar"/>
    <w:uiPriority w:val="99"/>
    <w:semiHidden/>
    <w:unhideWhenUsed/>
    <w:rsid w:val="00F64DE4"/>
    <w:pPr>
      <w:spacing w:line="240" w:lineRule="auto"/>
    </w:pPr>
    <w:rPr>
      <w:sz w:val="20"/>
      <w:szCs w:val="20"/>
    </w:rPr>
  </w:style>
  <w:style w:type="character" w:customStyle="1" w:styleId="CommentTextChar">
    <w:name w:val="Comment Text Char"/>
    <w:basedOn w:val="DefaultParagraphFont"/>
    <w:link w:val="CommentText"/>
    <w:uiPriority w:val="99"/>
    <w:semiHidden/>
    <w:rsid w:val="00F64DE4"/>
    <w:rPr>
      <w:sz w:val="20"/>
      <w:szCs w:val="20"/>
    </w:rPr>
  </w:style>
  <w:style w:type="paragraph" w:styleId="CommentSubject">
    <w:name w:val="annotation subject"/>
    <w:basedOn w:val="CommentText"/>
    <w:next w:val="CommentText"/>
    <w:link w:val="CommentSubjectChar"/>
    <w:uiPriority w:val="99"/>
    <w:semiHidden/>
    <w:unhideWhenUsed/>
    <w:rsid w:val="00F64DE4"/>
    <w:rPr>
      <w:b/>
      <w:bCs/>
    </w:rPr>
  </w:style>
  <w:style w:type="character" w:customStyle="1" w:styleId="CommentSubjectChar">
    <w:name w:val="Comment Subject Char"/>
    <w:basedOn w:val="CommentTextChar"/>
    <w:link w:val="CommentSubject"/>
    <w:uiPriority w:val="99"/>
    <w:semiHidden/>
    <w:rsid w:val="00F64DE4"/>
    <w:rPr>
      <w:b/>
      <w:bCs/>
      <w:sz w:val="20"/>
      <w:szCs w:val="20"/>
    </w:rPr>
  </w:style>
  <w:style w:type="paragraph" w:styleId="BalloonText">
    <w:name w:val="Balloon Text"/>
    <w:basedOn w:val="Normal"/>
    <w:link w:val="BalloonTextChar"/>
    <w:uiPriority w:val="99"/>
    <w:semiHidden/>
    <w:unhideWhenUsed/>
    <w:rsid w:val="00F64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DE4"/>
    <w:rPr>
      <w:rFonts w:ascii="Segoe UI" w:hAnsi="Segoe UI" w:cs="Segoe UI"/>
      <w:sz w:val="18"/>
      <w:szCs w:val="18"/>
    </w:rPr>
  </w:style>
  <w:style w:type="paragraph" w:styleId="NormalWeb">
    <w:name w:val="Normal (Web)"/>
    <w:basedOn w:val="Normal"/>
    <w:uiPriority w:val="99"/>
    <w:semiHidden/>
    <w:unhideWhenUsed/>
    <w:rsid w:val="005E78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803005">
      <w:bodyDiv w:val="1"/>
      <w:marLeft w:val="0"/>
      <w:marRight w:val="0"/>
      <w:marTop w:val="0"/>
      <w:marBottom w:val="0"/>
      <w:divBdr>
        <w:top w:val="none" w:sz="0" w:space="0" w:color="auto"/>
        <w:left w:val="none" w:sz="0" w:space="0" w:color="auto"/>
        <w:bottom w:val="none" w:sz="0" w:space="0" w:color="auto"/>
        <w:right w:val="none" w:sz="0" w:space="0" w:color="auto"/>
      </w:divBdr>
    </w:div>
    <w:div w:id="18746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3FA4-0FD4-4D1E-A3E4-49F9E6F4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Falbo</dc:creator>
  <cp:keywords/>
  <dc:description/>
  <cp:lastModifiedBy>Microsoft Office User</cp:lastModifiedBy>
  <cp:revision>2</cp:revision>
  <dcterms:created xsi:type="dcterms:W3CDTF">2022-06-17T18:35:00Z</dcterms:created>
  <dcterms:modified xsi:type="dcterms:W3CDTF">2022-06-17T18:35:00Z</dcterms:modified>
</cp:coreProperties>
</file>