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30737513"/>
        <w:docPartObj>
          <w:docPartGallery w:val="Cover Pages"/>
          <w:docPartUnique/>
        </w:docPartObj>
      </w:sdtPr>
      <w:sdtEndPr/>
      <w:sdtContent>
        <w:p w14:paraId="6CCC9C46" w14:textId="7EA2DFD0" w:rsidR="00AE3382" w:rsidRDefault="00AE3382"/>
        <w:p w14:paraId="019FE72E" w14:textId="727BA538" w:rsidR="00AE3382" w:rsidRDefault="00AE3382">
          <w:pPr>
            <w:rPr>
              <w:rFonts w:asciiTheme="majorHAnsi" w:eastAsiaTheme="majorEastAsia" w:hAnsiTheme="majorHAnsi" w:cstheme="majorBidi"/>
              <w:spacing w:val="-10"/>
              <w:kern w:val="28"/>
              <w:sz w:val="56"/>
              <w:szCs w:val="56"/>
            </w:rPr>
          </w:pPr>
          <w:r>
            <w:rPr>
              <w:noProof/>
            </w:rPr>
            <mc:AlternateContent>
              <mc:Choice Requires="wpg">
                <w:drawing>
                  <wp:anchor distT="0" distB="0" distL="114300" distR="114300" simplePos="0" relativeHeight="251672576" behindDoc="1" locked="0" layoutInCell="1" allowOverlap="1" wp14:anchorId="4D9E0E27" wp14:editId="4391C4F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E748D99" w14:textId="57DA6464" w:rsidR="00AE3382" w:rsidRDefault="001F5C92" w:rsidP="00AE3382">
                                  <w:pPr>
                                    <w:rPr>
                                      <w:color w:val="FFFFFF" w:themeColor="background1"/>
                                      <w:sz w:val="72"/>
                                      <w:szCs w:val="72"/>
                                    </w:rPr>
                                  </w:pPr>
                                  <w:sdt>
                                    <w:sdtPr>
                                      <w:rPr>
                                        <w:rFonts w:asciiTheme="majorHAnsi" w:eastAsiaTheme="majorEastAsia" w:hAnsiTheme="majorHAnsi" w:cstheme="majorBidi"/>
                                        <w:color w:val="FFFFFF" w:themeColor="background1"/>
                                        <w:spacing w:val="-10"/>
                                        <w:kern w:val="28"/>
                                        <w:sz w:val="56"/>
                                        <w:szCs w:val="56"/>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FC1806">
                                        <w:rPr>
                                          <w:rFonts w:asciiTheme="majorHAnsi" w:eastAsiaTheme="majorEastAsia" w:hAnsiTheme="majorHAnsi" w:cstheme="majorBidi"/>
                                          <w:color w:val="FFFFFF" w:themeColor="background1"/>
                                          <w:spacing w:val="-10"/>
                                          <w:kern w:val="28"/>
                                          <w:sz w:val="56"/>
                                          <w:szCs w:val="56"/>
                                        </w:rPr>
                                        <w:t xml:space="preserve">Basics of Healthcare </w:t>
                                      </w:r>
                                      <w:r w:rsidR="00AE3382" w:rsidRPr="00AE3382">
                                        <w:rPr>
                                          <w:rFonts w:asciiTheme="majorHAnsi" w:eastAsiaTheme="majorEastAsia" w:hAnsiTheme="majorHAnsi" w:cstheme="majorBidi"/>
                                          <w:color w:val="FFFFFF" w:themeColor="background1"/>
                                          <w:spacing w:val="-10"/>
                                          <w:kern w:val="28"/>
                                          <w:sz w:val="56"/>
                                          <w:szCs w:val="56"/>
                                        </w:rPr>
                                        <w:t>Revenue Cycle</w:t>
                                      </w:r>
                                      <w:r w:rsidR="00AE3382">
                                        <w:rPr>
                                          <w:rFonts w:asciiTheme="majorHAnsi" w:eastAsiaTheme="majorEastAsia" w:hAnsiTheme="majorHAnsi" w:cstheme="majorBidi"/>
                                          <w:color w:val="FFFFFF" w:themeColor="background1"/>
                                          <w:spacing w:val="-10"/>
                                          <w:kern w:val="28"/>
                                          <w:sz w:val="56"/>
                                          <w:szCs w:val="56"/>
                                        </w:rPr>
                                        <w:t xml:space="preserve"> f</w:t>
                                      </w:r>
                                      <w:r w:rsidR="00AE3382" w:rsidRPr="00AE3382">
                                        <w:rPr>
                                          <w:rFonts w:asciiTheme="majorHAnsi" w:eastAsiaTheme="majorEastAsia" w:hAnsiTheme="majorHAnsi" w:cstheme="majorBidi"/>
                                          <w:color w:val="FFFFFF" w:themeColor="background1"/>
                                          <w:spacing w:val="-10"/>
                                          <w:kern w:val="28"/>
                                          <w:sz w:val="56"/>
                                          <w:szCs w:val="56"/>
                                        </w:rPr>
                                        <w:t xml:space="preserve">or </w:t>
                                      </w:r>
                                      <w:r w:rsidR="00627F2C">
                                        <w:rPr>
                                          <w:rFonts w:asciiTheme="majorHAnsi" w:eastAsiaTheme="majorEastAsia" w:hAnsiTheme="majorHAnsi" w:cstheme="majorBidi"/>
                                          <w:color w:val="FFFFFF" w:themeColor="background1"/>
                                          <w:spacing w:val="-10"/>
                                          <w:kern w:val="28"/>
                                          <w:sz w:val="56"/>
                                          <w:szCs w:val="56"/>
                                        </w:rPr>
                                        <w:t>Industrial Engineers</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D9E0E27" id="Group 125" o:spid="_x0000_s1026" style="position:absolute;margin-left:0;margin-top:0;width:540pt;height:556.55pt;z-index:-251643904;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E748D99" w14:textId="57DA6464" w:rsidR="00AE3382" w:rsidRDefault="001F5C92" w:rsidP="00AE3382">
                            <w:pPr>
                              <w:rPr>
                                <w:color w:val="FFFFFF" w:themeColor="background1"/>
                                <w:sz w:val="72"/>
                                <w:szCs w:val="72"/>
                              </w:rPr>
                            </w:pPr>
                            <w:sdt>
                              <w:sdtPr>
                                <w:rPr>
                                  <w:rFonts w:asciiTheme="majorHAnsi" w:eastAsiaTheme="majorEastAsia" w:hAnsiTheme="majorHAnsi" w:cstheme="majorBidi"/>
                                  <w:color w:val="FFFFFF" w:themeColor="background1"/>
                                  <w:spacing w:val="-10"/>
                                  <w:kern w:val="28"/>
                                  <w:sz w:val="56"/>
                                  <w:szCs w:val="56"/>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FC1806">
                                  <w:rPr>
                                    <w:rFonts w:asciiTheme="majorHAnsi" w:eastAsiaTheme="majorEastAsia" w:hAnsiTheme="majorHAnsi" w:cstheme="majorBidi"/>
                                    <w:color w:val="FFFFFF" w:themeColor="background1"/>
                                    <w:spacing w:val="-10"/>
                                    <w:kern w:val="28"/>
                                    <w:sz w:val="56"/>
                                    <w:szCs w:val="56"/>
                                  </w:rPr>
                                  <w:t xml:space="preserve">Basics of Healthcare </w:t>
                                </w:r>
                                <w:r w:rsidR="00AE3382" w:rsidRPr="00AE3382">
                                  <w:rPr>
                                    <w:rFonts w:asciiTheme="majorHAnsi" w:eastAsiaTheme="majorEastAsia" w:hAnsiTheme="majorHAnsi" w:cstheme="majorBidi"/>
                                    <w:color w:val="FFFFFF" w:themeColor="background1"/>
                                    <w:spacing w:val="-10"/>
                                    <w:kern w:val="28"/>
                                    <w:sz w:val="56"/>
                                    <w:szCs w:val="56"/>
                                  </w:rPr>
                                  <w:t>Revenue Cycle</w:t>
                                </w:r>
                                <w:r w:rsidR="00AE3382">
                                  <w:rPr>
                                    <w:rFonts w:asciiTheme="majorHAnsi" w:eastAsiaTheme="majorEastAsia" w:hAnsiTheme="majorHAnsi" w:cstheme="majorBidi"/>
                                    <w:color w:val="FFFFFF" w:themeColor="background1"/>
                                    <w:spacing w:val="-10"/>
                                    <w:kern w:val="28"/>
                                    <w:sz w:val="56"/>
                                    <w:szCs w:val="56"/>
                                  </w:rPr>
                                  <w:t xml:space="preserve"> f</w:t>
                                </w:r>
                                <w:r w:rsidR="00AE3382" w:rsidRPr="00AE3382">
                                  <w:rPr>
                                    <w:rFonts w:asciiTheme="majorHAnsi" w:eastAsiaTheme="majorEastAsia" w:hAnsiTheme="majorHAnsi" w:cstheme="majorBidi"/>
                                    <w:color w:val="FFFFFF" w:themeColor="background1"/>
                                    <w:spacing w:val="-10"/>
                                    <w:kern w:val="28"/>
                                    <w:sz w:val="56"/>
                                    <w:szCs w:val="56"/>
                                  </w:rPr>
                                  <w:t xml:space="preserve">or </w:t>
                                </w:r>
                                <w:r w:rsidR="00627F2C">
                                  <w:rPr>
                                    <w:rFonts w:asciiTheme="majorHAnsi" w:eastAsiaTheme="majorEastAsia" w:hAnsiTheme="majorHAnsi" w:cstheme="majorBidi"/>
                                    <w:color w:val="FFFFFF" w:themeColor="background1"/>
                                    <w:spacing w:val="-10"/>
                                    <w:kern w:val="28"/>
                                    <w:sz w:val="56"/>
                                    <w:szCs w:val="56"/>
                                  </w:rPr>
                                  <w:t>Industrial Engineers</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75648" behindDoc="0" locked="0" layoutInCell="1" allowOverlap="1" wp14:anchorId="4A3CF72A" wp14:editId="1FE2E724">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587FA" w14:textId="0070FF70" w:rsidR="00AE3382" w:rsidRDefault="00991741">
                                <w:pPr>
                                  <w:pStyle w:val="NoSpacing"/>
                                  <w:rPr>
                                    <w:caps/>
                                    <w:color w:val="7F7F7F" w:themeColor="text1" w:themeTint="80"/>
                                    <w:sz w:val="18"/>
                                    <w:szCs w:val="18"/>
                                  </w:rPr>
                                </w:pPr>
                                <w:r>
                                  <w:rPr>
                                    <w:caps/>
                                    <w:color w:val="7F7F7F" w:themeColor="text1" w:themeTint="80"/>
                                    <w:sz w:val="18"/>
                                    <w:szCs w:val="18"/>
                                  </w:rPr>
                                  <w:t>University of Pittsburgh swanson school of engineering</w:t>
                                </w:r>
                              </w:p>
                              <w:p w14:paraId="0A041008" w14:textId="6CB0CCAE" w:rsidR="00991741" w:rsidRDefault="00991741">
                                <w:pPr>
                                  <w:pStyle w:val="NoSpacing"/>
                                  <w:rPr>
                                    <w:color w:val="7F7F7F" w:themeColor="text1" w:themeTint="80"/>
                                    <w:sz w:val="18"/>
                                    <w:szCs w:val="18"/>
                                  </w:rPr>
                                </w:pPr>
                                <w:r>
                                  <w:rPr>
                                    <w:caps/>
                                    <w:color w:val="7F7F7F" w:themeColor="text1" w:themeTint="80"/>
                                    <w:sz w:val="18"/>
                                    <w:szCs w:val="18"/>
                                  </w:rPr>
                                  <w:t>Industrial engineering department</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4A3CF72A" id="_x0000_t202" coordsize="21600,21600" o:spt="202" path="m,l,21600r21600,l21600,xe">
                    <v:stroke joinstyle="miter"/>
                    <v:path gradientshapeok="t" o:connecttype="rect"/>
                  </v:shapetype>
                  <v:shape id="Text Box 128" o:spid="_x0000_s1029" type="#_x0000_t202" style="position:absolute;margin-left:0;margin-top:0;width:453pt;height:11.5pt;z-index:251675648;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osgw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" filled="f" stroked="f" strokeweight=".5pt">
                    <v:textbox style="mso-fit-shape-to-text:t" inset="1in,0,86.4pt,0">
                      <w:txbxContent>
                        <w:p w14:paraId="453587FA" w14:textId="0070FF70" w:rsidR="00AE3382" w:rsidRDefault="00991741">
                          <w:pPr>
                            <w:pStyle w:val="NoSpacing"/>
                            <w:rPr>
                              <w:caps/>
                              <w:color w:val="7F7F7F" w:themeColor="text1" w:themeTint="80"/>
                              <w:sz w:val="18"/>
                              <w:szCs w:val="18"/>
                            </w:rPr>
                          </w:pPr>
                          <w:r>
                            <w:rPr>
                              <w:caps/>
                              <w:color w:val="7F7F7F" w:themeColor="text1" w:themeTint="80"/>
                              <w:sz w:val="18"/>
                              <w:szCs w:val="18"/>
                            </w:rPr>
                            <w:t>University of Pittsburgh swanson school of engineering</w:t>
                          </w:r>
                        </w:p>
                        <w:p w14:paraId="0A041008" w14:textId="6CB0CCAE" w:rsidR="00991741" w:rsidRDefault="00991741">
                          <w:pPr>
                            <w:pStyle w:val="NoSpacing"/>
                            <w:rPr>
                              <w:color w:val="7F7F7F" w:themeColor="text1" w:themeTint="80"/>
                              <w:sz w:val="18"/>
                              <w:szCs w:val="18"/>
                            </w:rPr>
                          </w:pPr>
                          <w:r>
                            <w:rPr>
                              <w:caps/>
                              <w:color w:val="7F7F7F" w:themeColor="text1" w:themeTint="80"/>
                              <w:sz w:val="18"/>
                              <w:szCs w:val="18"/>
                            </w:rPr>
                            <w:t>Industrial engineering department</w:t>
                          </w:r>
                        </w:p>
                      </w:txbxContent>
                    </v:textbox>
                    <w10:wrap type="square" anchorx="page" anchory="margin"/>
                  </v:shape>
                </w:pict>
              </mc:Fallback>
            </mc:AlternateContent>
          </w:r>
          <w:r>
            <w:rPr>
              <w:noProof/>
            </w:rPr>
            <mc:AlternateContent>
              <mc:Choice Requires="wps">
                <w:drawing>
                  <wp:anchor distT="0" distB="0" distL="114300" distR="114300" simplePos="0" relativeHeight="251674624" behindDoc="0" locked="0" layoutInCell="1" allowOverlap="1" wp14:anchorId="5ECA2498" wp14:editId="0BEAD73B">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Subtitle"/>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0A32C63B" w14:textId="04365463" w:rsidR="00AE3382" w:rsidRDefault="00AE3382">
                                    <w:pPr>
                                      <w:pStyle w:val="NoSpacing"/>
                                      <w:spacing w:before="40" w:after="40"/>
                                      <w:rPr>
                                        <w:caps/>
                                        <w:color w:val="4472C4" w:themeColor="accent1"/>
                                        <w:sz w:val="28"/>
                                        <w:szCs w:val="28"/>
                                      </w:rPr>
                                    </w:pPr>
                                    <w:r>
                                      <w:rPr>
                                        <w:caps/>
                                        <w:color w:val="4472C4" w:themeColor="accent1"/>
                                        <w:sz w:val="28"/>
                                        <w:szCs w:val="28"/>
                                      </w:rPr>
                                      <w:t xml:space="preserve">     </w:t>
                                    </w:r>
                                  </w:p>
                                </w:sdtContent>
                              </w:sdt>
                              <w:sdt>
                                <w:sdtPr>
                                  <w:rPr>
                                    <w:caps/>
                                    <w:color w:val="5B9BD5"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8EB8BDD" w14:textId="3E33BE2B" w:rsidR="00AE3382" w:rsidRDefault="00AE3382">
                                    <w:pPr>
                                      <w:pStyle w:val="NoSpacing"/>
                                      <w:spacing w:before="40" w:after="40"/>
                                      <w:rPr>
                                        <w:caps/>
                                        <w:color w:val="5B9BD5" w:themeColor="accent5"/>
                                        <w:sz w:val="24"/>
                                        <w:szCs w:val="24"/>
                                      </w:rPr>
                                    </w:pPr>
                                    <w:r>
                                      <w:rPr>
                                        <w:caps/>
                                        <w:color w:val="5B9BD5" w:themeColor="accent5"/>
                                        <w:sz w:val="24"/>
                                        <w:szCs w:val="24"/>
                                      </w:rPr>
                                      <w:t>Caroline Kolman</w:t>
                                    </w:r>
                                    <w:r w:rsidR="00991741">
                                      <w:rPr>
                                        <w:caps/>
                                        <w:color w:val="5B9BD5" w:themeColor="accent5"/>
                                        <w:sz w:val="24"/>
                                        <w:szCs w:val="24"/>
                                      </w:rPr>
                                      <w:t>, P.E.</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5ECA2498" id="Text Box 129" o:spid="_x0000_s1030" type="#_x0000_t202" style="position:absolute;margin-left:0;margin-top:0;width:453pt;height:38.15pt;z-index:251674624;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" filled="f" stroked="f" strokeweight=".5pt">
                    <v:textbox style="mso-fit-shape-to-text:t" inset="1in,0,86.4pt,0">
                      <w:txbxContent>
                        <w:sdt>
                          <w:sdtPr>
                            <w:rPr>
                              <w:caps/>
                              <w:color w:val="4472C4" w:themeColor="accent1"/>
                              <w:sz w:val="28"/>
                              <w:szCs w:val="28"/>
                            </w:rPr>
                            <w:alias w:val="Subtitle"/>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0A32C63B" w14:textId="04365463" w:rsidR="00AE3382" w:rsidRDefault="00AE3382">
                              <w:pPr>
                                <w:pStyle w:val="NoSpacing"/>
                                <w:spacing w:before="40" w:after="40"/>
                                <w:rPr>
                                  <w:caps/>
                                  <w:color w:val="4472C4" w:themeColor="accent1"/>
                                  <w:sz w:val="28"/>
                                  <w:szCs w:val="28"/>
                                </w:rPr>
                              </w:pPr>
                              <w:r>
                                <w:rPr>
                                  <w:caps/>
                                  <w:color w:val="4472C4" w:themeColor="accent1"/>
                                  <w:sz w:val="28"/>
                                  <w:szCs w:val="28"/>
                                </w:rPr>
                                <w:t xml:space="preserve">     </w:t>
                              </w:r>
                            </w:p>
                          </w:sdtContent>
                        </w:sdt>
                        <w:sdt>
                          <w:sdtPr>
                            <w:rPr>
                              <w:caps/>
                              <w:color w:val="5B9BD5"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8EB8BDD" w14:textId="3E33BE2B" w:rsidR="00AE3382" w:rsidRDefault="00AE3382">
                              <w:pPr>
                                <w:pStyle w:val="NoSpacing"/>
                                <w:spacing w:before="40" w:after="40"/>
                                <w:rPr>
                                  <w:caps/>
                                  <w:color w:val="5B9BD5" w:themeColor="accent5"/>
                                  <w:sz w:val="24"/>
                                  <w:szCs w:val="24"/>
                                </w:rPr>
                              </w:pPr>
                              <w:r>
                                <w:rPr>
                                  <w:caps/>
                                  <w:color w:val="5B9BD5" w:themeColor="accent5"/>
                                  <w:sz w:val="24"/>
                                  <w:szCs w:val="24"/>
                                </w:rPr>
                                <w:t>Caroline Kolman</w:t>
                              </w:r>
                              <w:r w:rsidR="00991741">
                                <w:rPr>
                                  <w:caps/>
                                  <w:color w:val="5B9BD5" w:themeColor="accent5"/>
                                  <w:sz w:val="24"/>
                                  <w:szCs w:val="24"/>
                                </w:rPr>
                                <w:t>, P.E.</w:t>
                              </w:r>
                            </w:p>
                          </w:sdtContent>
                        </w:sdt>
                      </w:txbxContent>
                    </v:textbox>
                    <w10:wrap type="square" anchorx="page" anchory="page"/>
                  </v:shape>
                </w:pict>
              </mc:Fallback>
            </mc:AlternateContent>
          </w:r>
          <w:r>
            <w:br w:type="page"/>
          </w:r>
        </w:p>
      </w:sdtContent>
    </w:sdt>
    <w:p w14:paraId="530FB938" w14:textId="7BFC8B1B" w:rsidR="0092688B" w:rsidRDefault="0092688B">
      <w:pPr>
        <w:rPr>
          <w:b/>
          <w:bCs/>
        </w:rPr>
        <w:sectPr w:rsidR="0092688B" w:rsidSect="00AE3382">
          <w:footerReference w:type="default" r:id="rId8"/>
          <w:pgSz w:w="12240" w:h="15840"/>
          <w:pgMar w:top="1440" w:right="1440" w:bottom="1440" w:left="1440" w:header="720" w:footer="720" w:gutter="0"/>
          <w:pgNumType w:start="0"/>
          <w:cols w:space="720"/>
          <w:titlePg/>
          <w:docGrid w:linePitch="360"/>
        </w:sectPr>
      </w:pPr>
    </w:p>
    <w:p w14:paraId="5DDB5CAE" w14:textId="0B1F83CB" w:rsidR="007946F7" w:rsidRDefault="007946F7">
      <w:pPr>
        <w:rPr>
          <w:b/>
          <w:bCs/>
        </w:rPr>
      </w:pPr>
    </w:p>
    <w:sdt>
      <w:sdtPr>
        <w:rPr>
          <w:rFonts w:asciiTheme="minorHAnsi" w:eastAsiaTheme="minorHAnsi" w:hAnsiTheme="minorHAnsi" w:cstheme="minorBidi"/>
          <w:color w:val="auto"/>
          <w:sz w:val="22"/>
          <w:szCs w:val="22"/>
        </w:rPr>
        <w:id w:val="1743832520"/>
        <w:docPartObj>
          <w:docPartGallery w:val="Table of Contents"/>
          <w:docPartUnique/>
        </w:docPartObj>
      </w:sdtPr>
      <w:sdtEndPr>
        <w:rPr>
          <w:b/>
          <w:bCs/>
          <w:noProof/>
        </w:rPr>
      </w:sdtEndPr>
      <w:sdtContent>
        <w:p w14:paraId="0B75DB53" w14:textId="4CFBB13E" w:rsidR="00E85B33" w:rsidRDefault="00E85B33">
          <w:pPr>
            <w:pStyle w:val="TOCHeading"/>
          </w:pPr>
          <w:r>
            <w:t>Contents</w:t>
          </w:r>
        </w:p>
        <w:p w14:paraId="30DE8A3E" w14:textId="50E0CB93" w:rsidR="009A2A31" w:rsidRDefault="00E85B3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5293098" w:history="1">
            <w:r w:rsidR="009A2A31" w:rsidRPr="001501EF">
              <w:rPr>
                <w:rStyle w:val="Hyperlink"/>
                <w:noProof/>
              </w:rPr>
              <w:t>Introduction</w:t>
            </w:r>
            <w:r w:rsidR="009A2A31">
              <w:rPr>
                <w:noProof/>
                <w:webHidden/>
              </w:rPr>
              <w:tab/>
            </w:r>
            <w:r w:rsidR="009A2A31">
              <w:rPr>
                <w:noProof/>
                <w:webHidden/>
              </w:rPr>
              <w:fldChar w:fldCharType="begin"/>
            </w:r>
            <w:r w:rsidR="009A2A31">
              <w:rPr>
                <w:noProof/>
                <w:webHidden/>
              </w:rPr>
              <w:instrText xml:space="preserve"> PAGEREF _Toc45293098 \h </w:instrText>
            </w:r>
            <w:r w:rsidR="009A2A31">
              <w:rPr>
                <w:noProof/>
                <w:webHidden/>
              </w:rPr>
            </w:r>
            <w:r w:rsidR="009A2A31">
              <w:rPr>
                <w:noProof/>
                <w:webHidden/>
              </w:rPr>
              <w:fldChar w:fldCharType="separate"/>
            </w:r>
            <w:r w:rsidR="009A2A31">
              <w:rPr>
                <w:noProof/>
                <w:webHidden/>
              </w:rPr>
              <w:t>2</w:t>
            </w:r>
            <w:r w:rsidR="009A2A31">
              <w:rPr>
                <w:noProof/>
                <w:webHidden/>
              </w:rPr>
              <w:fldChar w:fldCharType="end"/>
            </w:r>
          </w:hyperlink>
        </w:p>
        <w:p w14:paraId="646A4AC8" w14:textId="470C60AA" w:rsidR="009A2A31" w:rsidRDefault="001F5C92">
          <w:pPr>
            <w:pStyle w:val="TOC1"/>
            <w:tabs>
              <w:tab w:val="right" w:leader="dot" w:pos="9350"/>
            </w:tabs>
            <w:rPr>
              <w:rFonts w:eastAsiaTheme="minorEastAsia"/>
              <w:noProof/>
            </w:rPr>
          </w:pPr>
          <w:hyperlink w:anchor="_Toc45293099" w:history="1">
            <w:r w:rsidR="009A2A31" w:rsidRPr="001501EF">
              <w:rPr>
                <w:rStyle w:val="Hyperlink"/>
                <w:noProof/>
              </w:rPr>
              <w:t>Stages of the Revenue Cycle</w:t>
            </w:r>
            <w:r w:rsidR="009A2A31">
              <w:rPr>
                <w:noProof/>
                <w:webHidden/>
              </w:rPr>
              <w:tab/>
            </w:r>
            <w:r w:rsidR="009A2A31">
              <w:rPr>
                <w:noProof/>
                <w:webHidden/>
              </w:rPr>
              <w:fldChar w:fldCharType="begin"/>
            </w:r>
            <w:r w:rsidR="009A2A31">
              <w:rPr>
                <w:noProof/>
                <w:webHidden/>
              </w:rPr>
              <w:instrText xml:space="preserve"> PAGEREF _Toc45293099 \h </w:instrText>
            </w:r>
            <w:r w:rsidR="009A2A31">
              <w:rPr>
                <w:noProof/>
                <w:webHidden/>
              </w:rPr>
            </w:r>
            <w:r w:rsidR="009A2A31">
              <w:rPr>
                <w:noProof/>
                <w:webHidden/>
              </w:rPr>
              <w:fldChar w:fldCharType="separate"/>
            </w:r>
            <w:r w:rsidR="009A2A31">
              <w:rPr>
                <w:noProof/>
                <w:webHidden/>
              </w:rPr>
              <w:t>3</w:t>
            </w:r>
            <w:r w:rsidR="009A2A31">
              <w:rPr>
                <w:noProof/>
                <w:webHidden/>
              </w:rPr>
              <w:fldChar w:fldCharType="end"/>
            </w:r>
          </w:hyperlink>
        </w:p>
        <w:p w14:paraId="5CC3C7D3" w14:textId="4CF03A03" w:rsidR="009A2A31" w:rsidRDefault="001F5C92">
          <w:pPr>
            <w:pStyle w:val="TOC2"/>
            <w:tabs>
              <w:tab w:val="right" w:leader="dot" w:pos="9350"/>
            </w:tabs>
            <w:rPr>
              <w:rFonts w:eastAsiaTheme="minorEastAsia"/>
              <w:noProof/>
            </w:rPr>
          </w:pPr>
          <w:hyperlink w:anchor="_Toc45293100" w:history="1">
            <w:r w:rsidR="009A2A31" w:rsidRPr="001501EF">
              <w:rPr>
                <w:rStyle w:val="Hyperlink"/>
                <w:noProof/>
              </w:rPr>
              <w:t>Pre-Arrival</w:t>
            </w:r>
            <w:r w:rsidR="009A2A31">
              <w:rPr>
                <w:noProof/>
                <w:webHidden/>
              </w:rPr>
              <w:tab/>
            </w:r>
            <w:r w:rsidR="009A2A31">
              <w:rPr>
                <w:noProof/>
                <w:webHidden/>
              </w:rPr>
              <w:fldChar w:fldCharType="begin"/>
            </w:r>
            <w:r w:rsidR="009A2A31">
              <w:rPr>
                <w:noProof/>
                <w:webHidden/>
              </w:rPr>
              <w:instrText xml:space="preserve"> PAGEREF _Toc45293100 \h </w:instrText>
            </w:r>
            <w:r w:rsidR="009A2A31">
              <w:rPr>
                <w:noProof/>
                <w:webHidden/>
              </w:rPr>
            </w:r>
            <w:r w:rsidR="009A2A31">
              <w:rPr>
                <w:noProof/>
                <w:webHidden/>
              </w:rPr>
              <w:fldChar w:fldCharType="separate"/>
            </w:r>
            <w:r w:rsidR="009A2A31">
              <w:rPr>
                <w:noProof/>
                <w:webHidden/>
              </w:rPr>
              <w:t>3</w:t>
            </w:r>
            <w:r w:rsidR="009A2A31">
              <w:rPr>
                <w:noProof/>
                <w:webHidden/>
              </w:rPr>
              <w:fldChar w:fldCharType="end"/>
            </w:r>
          </w:hyperlink>
        </w:p>
        <w:p w14:paraId="5DD5DC71" w14:textId="72E66170" w:rsidR="009A2A31" w:rsidRDefault="001F5C92">
          <w:pPr>
            <w:pStyle w:val="TOC2"/>
            <w:tabs>
              <w:tab w:val="right" w:leader="dot" w:pos="9350"/>
            </w:tabs>
            <w:rPr>
              <w:rFonts w:eastAsiaTheme="minorEastAsia"/>
              <w:noProof/>
            </w:rPr>
          </w:pPr>
          <w:hyperlink w:anchor="_Toc45293101" w:history="1">
            <w:r w:rsidR="009A2A31" w:rsidRPr="001501EF">
              <w:rPr>
                <w:rStyle w:val="Hyperlink"/>
                <w:noProof/>
              </w:rPr>
              <w:t>Arrival</w:t>
            </w:r>
            <w:r w:rsidR="009A2A31">
              <w:rPr>
                <w:noProof/>
                <w:webHidden/>
              </w:rPr>
              <w:tab/>
            </w:r>
            <w:r w:rsidR="009A2A31">
              <w:rPr>
                <w:noProof/>
                <w:webHidden/>
              </w:rPr>
              <w:fldChar w:fldCharType="begin"/>
            </w:r>
            <w:r w:rsidR="009A2A31">
              <w:rPr>
                <w:noProof/>
                <w:webHidden/>
              </w:rPr>
              <w:instrText xml:space="preserve"> PAGEREF _Toc45293101 \h </w:instrText>
            </w:r>
            <w:r w:rsidR="009A2A31">
              <w:rPr>
                <w:noProof/>
                <w:webHidden/>
              </w:rPr>
            </w:r>
            <w:r w:rsidR="009A2A31">
              <w:rPr>
                <w:noProof/>
                <w:webHidden/>
              </w:rPr>
              <w:fldChar w:fldCharType="separate"/>
            </w:r>
            <w:r w:rsidR="009A2A31">
              <w:rPr>
                <w:noProof/>
                <w:webHidden/>
              </w:rPr>
              <w:t>4</w:t>
            </w:r>
            <w:r w:rsidR="009A2A31">
              <w:rPr>
                <w:noProof/>
                <w:webHidden/>
              </w:rPr>
              <w:fldChar w:fldCharType="end"/>
            </w:r>
          </w:hyperlink>
        </w:p>
        <w:p w14:paraId="7076BF61" w14:textId="2856BFDC" w:rsidR="009A2A31" w:rsidRDefault="001F5C92">
          <w:pPr>
            <w:pStyle w:val="TOC2"/>
            <w:tabs>
              <w:tab w:val="right" w:leader="dot" w:pos="9350"/>
            </w:tabs>
            <w:rPr>
              <w:rFonts w:eastAsiaTheme="minorEastAsia"/>
              <w:noProof/>
            </w:rPr>
          </w:pPr>
          <w:hyperlink w:anchor="_Toc45293102" w:history="1">
            <w:r w:rsidR="009A2A31" w:rsidRPr="001501EF">
              <w:rPr>
                <w:rStyle w:val="Hyperlink"/>
                <w:noProof/>
              </w:rPr>
              <w:t>Care Integrity</w:t>
            </w:r>
            <w:r w:rsidR="009A2A31">
              <w:rPr>
                <w:noProof/>
                <w:webHidden/>
              </w:rPr>
              <w:tab/>
            </w:r>
            <w:r w:rsidR="009A2A31">
              <w:rPr>
                <w:noProof/>
                <w:webHidden/>
              </w:rPr>
              <w:fldChar w:fldCharType="begin"/>
            </w:r>
            <w:r w:rsidR="009A2A31">
              <w:rPr>
                <w:noProof/>
                <w:webHidden/>
              </w:rPr>
              <w:instrText xml:space="preserve"> PAGEREF _Toc45293102 \h </w:instrText>
            </w:r>
            <w:r w:rsidR="009A2A31">
              <w:rPr>
                <w:noProof/>
                <w:webHidden/>
              </w:rPr>
            </w:r>
            <w:r w:rsidR="009A2A31">
              <w:rPr>
                <w:noProof/>
                <w:webHidden/>
              </w:rPr>
              <w:fldChar w:fldCharType="separate"/>
            </w:r>
            <w:r w:rsidR="009A2A31">
              <w:rPr>
                <w:noProof/>
                <w:webHidden/>
              </w:rPr>
              <w:t>4</w:t>
            </w:r>
            <w:r w:rsidR="009A2A31">
              <w:rPr>
                <w:noProof/>
                <w:webHidden/>
              </w:rPr>
              <w:fldChar w:fldCharType="end"/>
            </w:r>
          </w:hyperlink>
        </w:p>
        <w:p w14:paraId="1698CE66" w14:textId="1DE8BA05" w:rsidR="009A2A31" w:rsidRDefault="001F5C92">
          <w:pPr>
            <w:pStyle w:val="TOC2"/>
            <w:tabs>
              <w:tab w:val="right" w:leader="dot" w:pos="9350"/>
            </w:tabs>
            <w:rPr>
              <w:rFonts w:eastAsiaTheme="minorEastAsia"/>
              <w:noProof/>
            </w:rPr>
          </w:pPr>
          <w:hyperlink w:anchor="_Toc45293103" w:history="1">
            <w:r w:rsidR="009A2A31" w:rsidRPr="001501EF">
              <w:rPr>
                <w:rStyle w:val="Hyperlink"/>
                <w:noProof/>
              </w:rPr>
              <w:t>Post Service Care &amp; Revenue Recovery</w:t>
            </w:r>
            <w:r w:rsidR="009A2A31">
              <w:rPr>
                <w:noProof/>
                <w:webHidden/>
              </w:rPr>
              <w:tab/>
            </w:r>
            <w:r w:rsidR="009A2A31">
              <w:rPr>
                <w:noProof/>
                <w:webHidden/>
              </w:rPr>
              <w:fldChar w:fldCharType="begin"/>
            </w:r>
            <w:r w:rsidR="009A2A31">
              <w:rPr>
                <w:noProof/>
                <w:webHidden/>
              </w:rPr>
              <w:instrText xml:space="preserve"> PAGEREF _Toc45293103 \h </w:instrText>
            </w:r>
            <w:r w:rsidR="009A2A31">
              <w:rPr>
                <w:noProof/>
                <w:webHidden/>
              </w:rPr>
            </w:r>
            <w:r w:rsidR="009A2A31">
              <w:rPr>
                <w:noProof/>
                <w:webHidden/>
              </w:rPr>
              <w:fldChar w:fldCharType="separate"/>
            </w:r>
            <w:r w:rsidR="009A2A31">
              <w:rPr>
                <w:noProof/>
                <w:webHidden/>
              </w:rPr>
              <w:t>5</w:t>
            </w:r>
            <w:r w:rsidR="009A2A31">
              <w:rPr>
                <w:noProof/>
                <w:webHidden/>
              </w:rPr>
              <w:fldChar w:fldCharType="end"/>
            </w:r>
          </w:hyperlink>
        </w:p>
        <w:p w14:paraId="7F32D0BB" w14:textId="0C0A942B" w:rsidR="009A2A31" w:rsidRDefault="001F5C92">
          <w:pPr>
            <w:pStyle w:val="TOC1"/>
            <w:tabs>
              <w:tab w:val="right" w:leader="dot" w:pos="9350"/>
            </w:tabs>
            <w:rPr>
              <w:rFonts w:eastAsiaTheme="minorEastAsia"/>
              <w:noProof/>
            </w:rPr>
          </w:pPr>
          <w:hyperlink w:anchor="_Toc45293104" w:history="1">
            <w:r w:rsidR="009A2A31" w:rsidRPr="001501EF">
              <w:rPr>
                <w:rStyle w:val="Hyperlink"/>
                <w:noProof/>
              </w:rPr>
              <w:t>Costing Systems and Billing</w:t>
            </w:r>
            <w:r w:rsidR="009A2A31">
              <w:rPr>
                <w:noProof/>
                <w:webHidden/>
              </w:rPr>
              <w:tab/>
            </w:r>
            <w:r w:rsidR="009A2A31">
              <w:rPr>
                <w:noProof/>
                <w:webHidden/>
              </w:rPr>
              <w:fldChar w:fldCharType="begin"/>
            </w:r>
            <w:r w:rsidR="009A2A31">
              <w:rPr>
                <w:noProof/>
                <w:webHidden/>
              </w:rPr>
              <w:instrText xml:space="preserve"> PAGEREF _Toc45293104 \h </w:instrText>
            </w:r>
            <w:r w:rsidR="009A2A31">
              <w:rPr>
                <w:noProof/>
                <w:webHidden/>
              </w:rPr>
            </w:r>
            <w:r w:rsidR="009A2A31">
              <w:rPr>
                <w:noProof/>
                <w:webHidden/>
              </w:rPr>
              <w:fldChar w:fldCharType="separate"/>
            </w:r>
            <w:r w:rsidR="009A2A31">
              <w:rPr>
                <w:noProof/>
                <w:webHidden/>
              </w:rPr>
              <w:t>9</w:t>
            </w:r>
            <w:r w:rsidR="009A2A31">
              <w:rPr>
                <w:noProof/>
                <w:webHidden/>
              </w:rPr>
              <w:fldChar w:fldCharType="end"/>
            </w:r>
          </w:hyperlink>
        </w:p>
        <w:p w14:paraId="5B7E802E" w14:textId="5D2ACB4C" w:rsidR="009A2A31" w:rsidRDefault="001F5C92">
          <w:pPr>
            <w:pStyle w:val="TOC2"/>
            <w:tabs>
              <w:tab w:val="right" w:leader="dot" w:pos="9350"/>
            </w:tabs>
            <w:rPr>
              <w:rFonts w:eastAsiaTheme="minorEastAsia"/>
              <w:noProof/>
            </w:rPr>
          </w:pPr>
          <w:hyperlink w:anchor="_Toc45293105" w:history="1">
            <w:r w:rsidR="009A2A31" w:rsidRPr="001501EF">
              <w:rPr>
                <w:rStyle w:val="Hyperlink"/>
                <w:noProof/>
              </w:rPr>
              <w:t>The Provider’s Chargemaster</w:t>
            </w:r>
            <w:r w:rsidR="009A2A31">
              <w:rPr>
                <w:noProof/>
                <w:webHidden/>
              </w:rPr>
              <w:tab/>
            </w:r>
            <w:r w:rsidR="009A2A31">
              <w:rPr>
                <w:noProof/>
                <w:webHidden/>
              </w:rPr>
              <w:fldChar w:fldCharType="begin"/>
            </w:r>
            <w:r w:rsidR="009A2A31">
              <w:rPr>
                <w:noProof/>
                <w:webHidden/>
              </w:rPr>
              <w:instrText xml:space="preserve"> PAGEREF _Toc45293105 \h </w:instrText>
            </w:r>
            <w:r w:rsidR="009A2A31">
              <w:rPr>
                <w:noProof/>
                <w:webHidden/>
              </w:rPr>
            </w:r>
            <w:r w:rsidR="009A2A31">
              <w:rPr>
                <w:noProof/>
                <w:webHidden/>
              </w:rPr>
              <w:fldChar w:fldCharType="separate"/>
            </w:r>
            <w:r w:rsidR="009A2A31">
              <w:rPr>
                <w:noProof/>
                <w:webHidden/>
              </w:rPr>
              <w:t>9</w:t>
            </w:r>
            <w:r w:rsidR="009A2A31">
              <w:rPr>
                <w:noProof/>
                <w:webHidden/>
              </w:rPr>
              <w:fldChar w:fldCharType="end"/>
            </w:r>
          </w:hyperlink>
        </w:p>
        <w:p w14:paraId="1F08546E" w14:textId="2764916B" w:rsidR="009A2A31" w:rsidRDefault="001F5C92">
          <w:pPr>
            <w:pStyle w:val="TOC2"/>
            <w:tabs>
              <w:tab w:val="right" w:leader="dot" w:pos="9350"/>
            </w:tabs>
            <w:rPr>
              <w:rFonts w:eastAsiaTheme="minorEastAsia"/>
              <w:noProof/>
            </w:rPr>
          </w:pPr>
          <w:hyperlink w:anchor="_Toc45293106" w:history="1">
            <w:r w:rsidR="009A2A31" w:rsidRPr="001501EF">
              <w:rPr>
                <w:rStyle w:val="Hyperlink"/>
                <w:noProof/>
              </w:rPr>
              <w:t>Example Claim Calculation</w:t>
            </w:r>
            <w:r w:rsidR="009A2A31">
              <w:rPr>
                <w:noProof/>
                <w:webHidden/>
              </w:rPr>
              <w:tab/>
            </w:r>
            <w:r w:rsidR="009A2A31">
              <w:rPr>
                <w:noProof/>
                <w:webHidden/>
              </w:rPr>
              <w:fldChar w:fldCharType="begin"/>
            </w:r>
            <w:r w:rsidR="009A2A31">
              <w:rPr>
                <w:noProof/>
                <w:webHidden/>
              </w:rPr>
              <w:instrText xml:space="preserve"> PAGEREF _Toc45293106 \h </w:instrText>
            </w:r>
            <w:r w:rsidR="009A2A31">
              <w:rPr>
                <w:noProof/>
                <w:webHidden/>
              </w:rPr>
            </w:r>
            <w:r w:rsidR="009A2A31">
              <w:rPr>
                <w:noProof/>
                <w:webHidden/>
              </w:rPr>
              <w:fldChar w:fldCharType="separate"/>
            </w:r>
            <w:r w:rsidR="009A2A31">
              <w:rPr>
                <w:noProof/>
                <w:webHidden/>
              </w:rPr>
              <w:t>10</w:t>
            </w:r>
            <w:r w:rsidR="009A2A31">
              <w:rPr>
                <w:noProof/>
                <w:webHidden/>
              </w:rPr>
              <w:fldChar w:fldCharType="end"/>
            </w:r>
          </w:hyperlink>
        </w:p>
        <w:p w14:paraId="1D9BD322" w14:textId="4DF9CA2E" w:rsidR="009A2A31" w:rsidRDefault="001F5C92">
          <w:pPr>
            <w:pStyle w:val="TOC2"/>
            <w:tabs>
              <w:tab w:val="right" w:leader="dot" w:pos="9350"/>
            </w:tabs>
            <w:rPr>
              <w:rFonts w:eastAsiaTheme="minorEastAsia"/>
              <w:noProof/>
            </w:rPr>
          </w:pPr>
          <w:hyperlink w:anchor="_Toc45293107" w:history="1">
            <w:r w:rsidR="009A2A31" w:rsidRPr="001501EF">
              <w:rPr>
                <w:rStyle w:val="Hyperlink"/>
                <w:noProof/>
              </w:rPr>
              <w:t>Pricing Transparency</w:t>
            </w:r>
            <w:r w:rsidR="009A2A31">
              <w:rPr>
                <w:noProof/>
                <w:webHidden/>
              </w:rPr>
              <w:tab/>
            </w:r>
            <w:r w:rsidR="009A2A31">
              <w:rPr>
                <w:noProof/>
                <w:webHidden/>
              </w:rPr>
              <w:fldChar w:fldCharType="begin"/>
            </w:r>
            <w:r w:rsidR="009A2A31">
              <w:rPr>
                <w:noProof/>
                <w:webHidden/>
              </w:rPr>
              <w:instrText xml:space="preserve"> PAGEREF _Toc45293107 \h </w:instrText>
            </w:r>
            <w:r w:rsidR="009A2A31">
              <w:rPr>
                <w:noProof/>
                <w:webHidden/>
              </w:rPr>
            </w:r>
            <w:r w:rsidR="009A2A31">
              <w:rPr>
                <w:noProof/>
                <w:webHidden/>
              </w:rPr>
              <w:fldChar w:fldCharType="separate"/>
            </w:r>
            <w:r w:rsidR="009A2A31">
              <w:rPr>
                <w:noProof/>
                <w:webHidden/>
              </w:rPr>
              <w:t>11</w:t>
            </w:r>
            <w:r w:rsidR="009A2A31">
              <w:rPr>
                <w:noProof/>
                <w:webHidden/>
              </w:rPr>
              <w:fldChar w:fldCharType="end"/>
            </w:r>
          </w:hyperlink>
        </w:p>
        <w:p w14:paraId="7DFF8AA7" w14:textId="19511E53" w:rsidR="009A2A31" w:rsidRDefault="001F5C92">
          <w:pPr>
            <w:pStyle w:val="TOC1"/>
            <w:tabs>
              <w:tab w:val="right" w:leader="dot" w:pos="9350"/>
            </w:tabs>
            <w:rPr>
              <w:rFonts w:eastAsiaTheme="minorEastAsia"/>
              <w:noProof/>
            </w:rPr>
          </w:pPr>
          <w:hyperlink w:anchor="_Toc45293108" w:history="1">
            <w:r w:rsidR="009A2A31" w:rsidRPr="001501EF">
              <w:rPr>
                <w:rStyle w:val="Hyperlink"/>
                <w:noProof/>
              </w:rPr>
              <w:t>Monitoring &amp; Reporting Systems</w:t>
            </w:r>
            <w:r w:rsidR="009A2A31">
              <w:rPr>
                <w:noProof/>
                <w:webHidden/>
              </w:rPr>
              <w:tab/>
            </w:r>
            <w:r w:rsidR="009A2A31">
              <w:rPr>
                <w:noProof/>
                <w:webHidden/>
              </w:rPr>
              <w:fldChar w:fldCharType="begin"/>
            </w:r>
            <w:r w:rsidR="009A2A31">
              <w:rPr>
                <w:noProof/>
                <w:webHidden/>
              </w:rPr>
              <w:instrText xml:space="preserve"> PAGEREF _Toc45293108 \h </w:instrText>
            </w:r>
            <w:r w:rsidR="009A2A31">
              <w:rPr>
                <w:noProof/>
                <w:webHidden/>
              </w:rPr>
            </w:r>
            <w:r w:rsidR="009A2A31">
              <w:rPr>
                <w:noProof/>
                <w:webHidden/>
              </w:rPr>
              <w:fldChar w:fldCharType="separate"/>
            </w:r>
            <w:r w:rsidR="009A2A31">
              <w:rPr>
                <w:noProof/>
                <w:webHidden/>
              </w:rPr>
              <w:t>12</w:t>
            </w:r>
            <w:r w:rsidR="009A2A31">
              <w:rPr>
                <w:noProof/>
                <w:webHidden/>
              </w:rPr>
              <w:fldChar w:fldCharType="end"/>
            </w:r>
          </w:hyperlink>
        </w:p>
        <w:p w14:paraId="4F771790" w14:textId="123E7801" w:rsidR="009A2A31" w:rsidRDefault="001F5C92">
          <w:pPr>
            <w:pStyle w:val="TOC2"/>
            <w:tabs>
              <w:tab w:val="right" w:leader="dot" w:pos="9350"/>
            </w:tabs>
            <w:rPr>
              <w:rFonts w:eastAsiaTheme="minorEastAsia"/>
              <w:noProof/>
            </w:rPr>
          </w:pPr>
          <w:hyperlink w:anchor="_Toc45293109" w:history="1">
            <w:r w:rsidR="009A2A31" w:rsidRPr="001501EF">
              <w:rPr>
                <w:rStyle w:val="Hyperlink"/>
                <w:noProof/>
              </w:rPr>
              <w:t>Payment Collection &amp; Processing</w:t>
            </w:r>
            <w:r w:rsidR="009A2A31">
              <w:rPr>
                <w:noProof/>
                <w:webHidden/>
              </w:rPr>
              <w:tab/>
            </w:r>
            <w:r w:rsidR="009A2A31">
              <w:rPr>
                <w:noProof/>
                <w:webHidden/>
              </w:rPr>
              <w:fldChar w:fldCharType="begin"/>
            </w:r>
            <w:r w:rsidR="009A2A31">
              <w:rPr>
                <w:noProof/>
                <w:webHidden/>
              </w:rPr>
              <w:instrText xml:space="preserve"> PAGEREF _Toc45293109 \h </w:instrText>
            </w:r>
            <w:r w:rsidR="009A2A31">
              <w:rPr>
                <w:noProof/>
                <w:webHidden/>
              </w:rPr>
            </w:r>
            <w:r w:rsidR="009A2A31">
              <w:rPr>
                <w:noProof/>
                <w:webHidden/>
              </w:rPr>
              <w:fldChar w:fldCharType="separate"/>
            </w:r>
            <w:r w:rsidR="009A2A31">
              <w:rPr>
                <w:noProof/>
                <w:webHidden/>
              </w:rPr>
              <w:t>12</w:t>
            </w:r>
            <w:r w:rsidR="009A2A31">
              <w:rPr>
                <w:noProof/>
                <w:webHidden/>
              </w:rPr>
              <w:fldChar w:fldCharType="end"/>
            </w:r>
          </w:hyperlink>
        </w:p>
        <w:p w14:paraId="26CFC28F" w14:textId="3C2A7FFA" w:rsidR="009A2A31" w:rsidRDefault="001F5C92">
          <w:pPr>
            <w:pStyle w:val="TOC2"/>
            <w:tabs>
              <w:tab w:val="right" w:leader="dot" w:pos="9350"/>
            </w:tabs>
            <w:rPr>
              <w:rFonts w:eastAsiaTheme="minorEastAsia"/>
              <w:noProof/>
            </w:rPr>
          </w:pPr>
          <w:hyperlink w:anchor="_Toc45293110" w:history="1">
            <w:r w:rsidR="009A2A31" w:rsidRPr="001501EF">
              <w:rPr>
                <w:rStyle w:val="Hyperlink"/>
                <w:noProof/>
              </w:rPr>
              <w:t>Key Performance Indicators for Accounts Receivable</w:t>
            </w:r>
            <w:r w:rsidR="009A2A31">
              <w:rPr>
                <w:noProof/>
                <w:webHidden/>
              </w:rPr>
              <w:tab/>
            </w:r>
            <w:r w:rsidR="009A2A31">
              <w:rPr>
                <w:noProof/>
                <w:webHidden/>
              </w:rPr>
              <w:fldChar w:fldCharType="begin"/>
            </w:r>
            <w:r w:rsidR="009A2A31">
              <w:rPr>
                <w:noProof/>
                <w:webHidden/>
              </w:rPr>
              <w:instrText xml:space="preserve"> PAGEREF _Toc45293110 \h </w:instrText>
            </w:r>
            <w:r w:rsidR="009A2A31">
              <w:rPr>
                <w:noProof/>
                <w:webHidden/>
              </w:rPr>
            </w:r>
            <w:r w:rsidR="009A2A31">
              <w:rPr>
                <w:noProof/>
                <w:webHidden/>
              </w:rPr>
              <w:fldChar w:fldCharType="separate"/>
            </w:r>
            <w:r w:rsidR="009A2A31">
              <w:rPr>
                <w:noProof/>
                <w:webHidden/>
              </w:rPr>
              <w:t>12</w:t>
            </w:r>
            <w:r w:rsidR="009A2A31">
              <w:rPr>
                <w:noProof/>
                <w:webHidden/>
              </w:rPr>
              <w:fldChar w:fldCharType="end"/>
            </w:r>
          </w:hyperlink>
        </w:p>
        <w:p w14:paraId="0B67BA39" w14:textId="0DE94D7D" w:rsidR="009A2A31" w:rsidRDefault="001F5C92">
          <w:pPr>
            <w:pStyle w:val="TOC2"/>
            <w:tabs>
              <w:tab w:val="right" w:leader="dot" w:pos="9350"/>
            </w:tabs>
            <w:rPr>
              <w:rFonts w:eastAsiaTheme="minorEastAsia"/>
              <w:noProof/>
            </w:rPr>
          </w:pPr>
          <w:hyperlink w:anchor="_Toc45293111" w:history="1">
            <w:r w:rsidR="009A2A31" w:rsidRPr="001501EF">
              <w:rPr>
                <w:rStyle w:val="Hyperlink"/>
                <w:noProof/>
              </w:rPr>
              <w:t>Other Metrics and Measures</w:t>
            </w:r>
            <w:r w:rsidR="009A2A31">
              <w:rPr>
                <w:noProof/>
                <w:webHidden/>
              </w:rPr>
              <w:tab/>
            </w:r>
            <w:r w:rsidR="009A2A31">
              <w:rPr>
                <w:noProof/>
                <w:webHidden/>
              </w:rPr>
              <w:fldChar w:fldCharType="begin"/>
            </w:r>
            <w:r w:rsidR="009A2A31">
              <w:rPr>
                <w:noProof/>
                <w:webHidden/>
              </w:rPr>
              <w:instrText xml:space="preserve"> PAGEREF _Toc45293111 \h </w:instrText>
            </w:r>
            <w:r w:rsidR="009A2A31">
              <w:rPr>
                <w:noProof/>
                <w:webHidden/>
              </w:rPr>
            </w:r>
            <w:r w:rsidR="009A2A31">
              <w:rPr>
                <w:noProof/>
                <w:webHidden/>
              </w:rPr>
              <w:fldChar w:fldCharType="separate"/>
            </w:r>
            <w:r w:rsidR="009A2A31">
              <w:rPr>
                <w:noProof/>
                <w:webHidden/>
              </w:rPr>
              <w:t>15</w:t>
            </w:r>
            <w:r w:rsidR="009A2A31">
              <w:rPr>
                <w:noProof/>
                <w:webHidden/>
              </w:rPr>
              <w:fldChar w:fldCharType="end"/>
            </w:r>
          </w:hyperlink>
        </w:p>
        <w:p w14:paraId="255FE11E" w14:textId="417AFA87" w:rsidR="009A2A31" w:rsidRDefault="001F5C92">
          <w:pPr>
            <w:pStyle w:val="TOC1"/>
            <w:tabs>
              <w:tab w:val="right" w:leader="dot" w:pos="9350"/>
            </w:tabs>
            <w:rPr>
              <w:rFonts w:eastAsiaTheme="minorEastAsia"/>
              <w:noProof/>
            </w:rPr>
          </w:pPr>
          <w:hyperlink w:anchor="_Toc45293112" w:history="1">
            <w:r w:rsidR="009A2A31" w:rsidRPr="001501EF">
              <w:rPr>
                <w:rStyle w:val="Hyperlink"/>
                <w:noProof/>
              </w:rPr>
              <w:t>Denials Management</w:t>
            </w:r>
            <w:r w:rsidR="009A2A31">
              <w:rPr>
                <w:noProof/>
                <w:webHidden/>
              </w:rPr>
              <w:tab/>
            </w:r>
            <w:r w:rsidR="009A2A31">
              <w:rPr>
                <w:noProof/>
                <w:webHidden/>
              </w:rPr>
              <w:fldChar w:fldCharType="begin"/>
            </w:r>
            <w:r w:rsidR="009A2A31">
              <w:rPr>
                <w:noProof/>
                <w:webHidden/>
              </w:rPr>
              <w:instrText xml:space="preserve"> PAGEREF _Toc45293112 \h </w:instrText>
            </w:r>
            <w:r w:rsidR="009A2A31">
              <w:rPr>
                <w:noProof/>
                <w:webHidden/>
              </w:rPr>
            </w:r>
            <w:r w:rsidR="009A2A31">
              <w:rPr>
                <w:noProof/>
                <w:webHidden/>
              </w:rPr>
              <w:fldChar w:fldCharType="separate"/>
            </w:r>
            <w:r w:rsidR="009A2A31">
              <w:rPr>
                <w:noProof/>
                <w:webHidden/>
              </w:rPr>
              <w:t>15</w:t>
            </w:r>
            <w:r w:rsidR="009A2A31">
              <w:rPr>
                <w:noProof/>
                <w:webHidden/>
              </w:rPr>
              <w:fldChar w:fldCharType="end"/>
            </w:r>
          </w:hyperlink>
        </w:p>
        <w:p w14:paraId="6A4C0F84" w14:textId="3F8E13B5" w:rsidR="009A2A31" w:rsidRDefault="001F5C92">
          <w:pPr>
            <w:pStyle w:val="TOC2"/>
            <w:tabs>
              <w:tab w:val="right" w:leader="dot" w:pos="9350"/>
            </w:tabs>
            <w:rPr>
              <w:rFonts w:eastAsiaTheme="minorEastAsia"/>
              <w:noProof/>
            </w:rPr>
          </w:pPr>
          <w:hyperlink w:anchor="_Toc45293113" w:history="1">
            <w:r w:rsidR="009A2A31" w:rsidRPr="001501EF">
              <w:rPr>
                <w:rStyle w:val="Hyperlink"/>
                <w:noProof/>
              </w:rPr>
              <w:t>Clean Claims Ratio</w:t>
            </w:r>
            <w:r w:rsidR="009A2A31">
              <w:rPr>
                <w:noProof/>
                <w:webHidden/>
              </w:rPr>
              <w:tab/>
            </w:r>
            <w:r w:rsidR="009A2A31">
              <w:rPr>
                <w:noProof/>
                <w:webHidden/>
              </w:rPr>
              <w:fldChar w:fldCharType="begin"/>
            </w:r>
            <w:r w:rsidR="009A2A31">
              <w:rPr>
                <w:noProof/>
                <w:webHidden/>
              </w:rPr>
              <w:instrText xml:space="preserve"> PAGEREF _Toc45293113 \h </w:instrText>
            </w:r>
            <w:r w:rsidR="009A2A31">
              <w:rPr>
                <w:noProof/>
                <w:webHidden/>
              </w:rPr>
            </w:r>
            <w:r w:rsidR="009A2A31">
              <w:rPr>
                <w:noProof/>
                <w:webHidden/>
              </w:rPr>
              <w:fldChar w:fldCharType="separate"/>
            </w:r>
            <w:r w:rsidR="009A2A31">
              <w:rPr>
                <w:noProof/>
                <w:webHidden/>
              </w:rPr>
              <w:t>15</w:t>
            </w:r>
            <w:r w:rsidR="009A2A31">
              <w:rPr>
                <w:noProof/>
                <w:webHidden/>
              </w:rPr>
              <w:fldChar w:fldCharType="end"/>
            </w:r>
          </w:hyperlink>
        </w:p>
        <w:p w14:paraId="02FC3012" w14:textId="66025828" w:rsidR="009A2A31" w:rsidRDefault="001F5C92">
          <w:pPr>
            <w:pStyle w:val="TOC2"/>
            <w:tabs>
              <w:tab w:val="right" w:leader="dot" w:pos="9350"/>
            </w:tabs>
            <w:rPr>
              <w:rFonts w:eastAsiaTheme="minorEastAsia"/>
              <w:noProof/>
            </w:rPr>
          </w:pPr>
          <w:hyperlink w:anchor="_Toc45293114" w:history="1">
            <w:r w:rsidR="009A2A31" w:rsidRPr="001501EF">
              <w:rPr>
                <w:rStyle w:val="Hyperlink"/>
                <w:noProof/>
              </w:rPr>
              <w:t>Categorizing Denials</w:t>
            </w:r>
            <w:r w:rsidR="009A2A31">
              <w:rPr>
                <w:noProof/>
                <w:webHidden/>
              </w:rPr>
              <w:tab/>
            </w:r>
            <w:r w:rsidR="009A2A31">
              <w:rPr>
                <w:noProof/>
                <w:webHidden/>
              </w:rPr>
              <w:fldChar w:fldCharType="begin"/>
            </w:r>
            <w:r w:rsidR="009A2A31">
              <w:rPr>
                <w:noProof/>
                <w:webHidden/>
              </w:rPr>
              <w:instrText xml:space="preserve"> PAGEREF _Toc45293114 \h </w:instrText>
            </w:r>
            <w:r w:rsidR="009A2A31">
              <w:rPr>
                <w:noProof/>
                <w:webHidden/>
              </w:rPr>
            </w:r>
            <w:r w:rsidR="009A2A31">
              <w:rPr>
                <w:noProof/>
                <w:webHidden/>
              </w:rPr>
              <w:fldChar w:fldCharType="separate"/>
            </w:r>
            <w:r w:rsidR="009A2A31">
              <w:rPr>
                <w:noProof/>
                <w:webHidden/>
              </w:rPr>
              <w:t>16</w:t>
            </w:r>
            <w:r w:rsidR="009A2A31">
              <w:rPr>
                <w:noProof/>
                <w:webHidden/>
              </w:rPr>
              <w:fldChar w:fldCharType="end"/>
            </w:r>
          </w:hyperlink>
        </w:p>
        <w:p w14:paraId="1FCCD258" w14:textId="220CFE23" w:rsidR="009A2A31" w:rsidRDefault="001F5C92">
          <w:pPr>
            <w:pStyle w:val="TOC2"/>
            <w:tabs>
              <w:tab w:val="right" w:leader="dot" w:pos="9350"/>
            </w:tabs>
            <w:rPr>
              <w:rFonts w:eastAsiaTheme="minorEastAsia"/>
              <w:noProof/>
            </w:rPr>
          </w:pPr>
          <w:hyperlink w:anchor="_Toc45293115" w:history="1">
            <w:r w:rsidR="009A2A31" w:rsidRPr="001501EF">
              <w:rPr>
                <w:rStyle w:val="Hyperlink"/>
                <w:noProof/>
              </w:rPr>
              <w:t>Managing Denials</w:t>
            </w:r>
            <w:r w:rsidR="009A2A31">
              <w:rPr>
                <w:noProof/>
                <w:webHidden/>
              </w:rPr>
              <w:tab/>
            </w:r>
            <w:r w:rsidR="009A2A31">
              <w:rPr>
                <w:noProof/>
                <w:webHidden/>
              </w:rPr>
              <w:fldChar w:fldCharType="begin"/>
            </w:r>
            <w:r w:rsidR="009A2A31">
              <w:rPr>
                <w:noProof/>
                <w:webHidden/>
              </w:rPr>
              <w:instrText xml:space="preserve"> PAGEREF _Toc45293115 \h </w:instrText>
            </w:r>
            <w:r w:rsidR="009A2A31">
              <w:rPr>
                <w:noProof/>
                <w:webHidden/>
              </w:rPr>
            </w:r>
            <w:r w:rsidR="009A2A31">
              <w:rPr>
                <w:noProof/>
                <w:webHidden/>
              </w:rPr>
              <w:fldChar w:fldCharType="separate"/>
            </w:r>
            <w:r w:rsidR="009A2A31">
              <w:rPr>
                <w:noProof/>
                <w:webHidden/>
              </w:rPr>
              <w:t>16</w:t>
            </w:r>
            <w:r w:rsidR="009A2A31">
              <w:rPr>
                <w:noProof/>
                <w:webHidden/>
              </w:rPr>
              <w:fldChar w:fldCharType="end"/>
            </w:r>
          </w:hyperlink>
        </w:p>
        <w:p w14:paraId="0FAE4F78" w14:textId="2C32D698" w:rsidR="009A2A31" w:rsidRDefault="001F5C92">
          <w:pPr>
            <w:pStyle w:val="TOC2"/>
            <w:tabs>
              <w:tab w:val="right" w:leader="dot" w:pos="9350"/>
            </w:tabs>
            <w:rPr>
              <w:rFonts w:eastAsiaTheme="minorEastAsia"/>
              <w:noProof/>
            </w:rPr>
          </w:pPr>
          <w:hyperlink w:anchor="_Toc45293116" w:history="1">
            <w:r w:rsidR="009A2A31" w:rsidRPr="001501EF">
              <w:rPr>
                <w:rStyle w:val="Hyperlink"/>
                <w:noProof/>
              </w:rPr>
              <w:t>RAC Audits</w:t>
            </w:r>
            <w:r w:rsidR="009A2A31">
              <w:rPr>
                <w:noProof/>
                <w:webHidden/>
              </w:rPr>
              <w:tab/>
            </w:r>
            <w:r w:rsidR="009A2A31">
              <w:rPr>
                <w:noProof/>
                <w:webHidden/>
              </w:rPr>
              <w:fldChar w:fldCharType="begin"/>
            </w:r>
            <w:r w:rsidR="009A2A31">
              <w:rPr>
                <w:noProof/>
                <w:webHidden/>
              </w:rPr>
              <w:instrText xml:space="preserve"> PAGEREF _Toc45293116 \h </w:instrText>
            </w:r>
            <w:r w:rsidR="009A2A31">
              <w:rPr>
                <w:noProof/>
                <w:webHidden/>
              </w:rPr>
            </w:r>
            <w:r w:rsidR="009A2A31">
              <w:rPr>
                <w:noProof/>
                <w:webHidden/>
              </w:rPr>
              <w:fldChar w:fldCharType="separate"/>
            </w:r>
            <w:r w:rsidR="009A2A31">
              <w:rPr>
                <w:noProof/>
                <w:webHidden/>
              </w:rPr>
              <w:t>17</w:t>
            </w:r>
            <w:r w:rsidR="009A2A31">
              <w:rPr>
                <w:noProof/>
                <w:webHidden/>
              </w:rPr>
              <w:fldChar w:fldCharType="end"/>
            </w:r>
          </w:hyperlink>
        </w:p>
        <w:p w14:paraId="2D2B5C60" w14:textId="0A8F7357" w:rsidR="009A2A31" w:rsidRDefault="001F5C92">
          <w:pPr>
            <w:pStyle w:val="TOC1"/>
            <w:tabs>
              <w:tab w:val="right" w:leader="dot" w:pos="9350"/>
            </w:tabs>
            <w:rPr>
              <w:rFonts w:eastAsiaTheme="minorEastAsia"/>
              <w:noProof/>
            </w:rPr>
          </w:pPr>
          <w:hyperlink w:anchor="_Toc45293117" w:history="1">
            <w:r w:rsidR="009A2A31" w:rsidRPr="001501EF">
              <w:rPr>
                <w:rStyle w:val="Hyperlink"/>
                <w:noProof/>
              </w:rPr>
              <w:t>Other Best Practices</w:t>
            </w:r>
            <w:r w:rsidR="009A2A31">
              <w:rPr>
                <w:noProof/>
                <w:webHidden/>
              </w:rPr>
              <w:tab/>
            </w:r>
            <w:r w:rsidR="009A2A31">
              <w:rPr>
                <w:noProof/>
                <w:webHidden/>
              </w:rPr>
              <w:fldChar w:fldCharType="begin"/>
            </w:r>
            <w:r w:rsidR="009A2A31">
              <w:rPr>
                <w:noProof/>
                <w:webHidden/>
              </w:rPr>
              <w:instrText xml:space="preserve"> PAGEREF _Toc45293117 \h </w:instrText>
            </w:r>
            <w:r w:rsidR="009A2A31">
              <w:rPr>
                <w:noProof/>
                <w:webHidden/>
              </w:rPr>
            </w:r>
            <w:r w:rsidR="009A2A31">
              <w:rPr>
                <w:noProof/>
                <w:webHidden/>
              </w:rPr>
              <w:fldChar w:fldCharType="separate"/>
            </w:r>
            <w:r w:rsidR="009A2A31">
              <w:rPr>
                <w:noProof/>
                <w:webHidden/>
              </w:rPr>
              <w:t>17</w:t>
            </w:r>
            <w:r w:rsidR="009A2A31">
              <w:rPr>
                <w:noProof/>
                <w:webHidden/>
              </w:rPr>
              <w:fldChar w:fldCharType="end"/>
            </w:r>
          </w:hyperlink>
        </w:p>
        <w:p w14:paraId="7383A809" w14:textId="6545FBCD" w:rsidR="009A2A31" w:rsidRDefault="001F5C92">
          <w:pPr>
            <w:pStyle w:val="TOC2"/>
            <w:tabs>
              <w:tab w:val="right" w:leader="dot" w:pos="9350"/>
            </w:tabs>
            <w:rPr>
              <w:rFonts w:eastAsiaTheme="minorEastAsia"/>
              <w:noProof/>
            </w:rPr>
          </w:pPr>
          <w:hyperlink w:anchor="_Toc45293118" w:history="1">
            <w:r w:rsidR="009A2A31" w:rsidRPr="001501EF">
              <w:rPr>
                <w:rStyle w:val="Hyperlink"/>
                <w:noProof/>
              </w:rPr>
              <w:t>Automation</w:t>
            </w:r>
            <w:r w:rsidR="009A2A31">
              <w:rPr>
                <w:noProof/>
                <w:webHidden/>
              </w:rPr>
              <w:tab/>
            </w:r>
            <w:r w:rsidR="009A2A31">
              <w:rPr>
                <w:noProof/>
                <w:webHidden/>
              </w:rPr>
              <w:fldChar w:fldCharType="begin"/>
            </w:r>
            <w:r w:rsidR="009A2A31">
              <w:rPr>
                <w:noProof/>
                <w:webHidden/>
              </w:rPr>
              <w:instrText xml:space="preserve"> PAGEREF _Toc45293118 \h </w:instrText>
            </w:r>
            <w:r w:rsidR="009A2A31">
              <w:rPr>
                <w:noProof/>
                <w:webHidden/>
              </w:rPr>
            </w:r>
            <w:r w:rsidR="009A2A31">
              <w:rPr>
                <w:noProof/>
                <w:webHidden/>
              </w:rPr>
              <w:fldChar w:fldCharType="separate"/>
            </w:r>
            <w:r w:rsidR="009A2A31">
              <w:rPr>
                <w:noProof/>
                <w:webHidden/>
              </w:rPr>
              <w:t>17</w:t>
            </w:r>
            <w:r w:rsidR="009A2A31">
              <w:rPr>
                <w:noProof/>
                <w:webHidden/>
              </w:rPr>
              <w:fldChar w:fldCharType="end"/>
            </w:r>
          </w:hyperlink>
        </w:p>
        <w:p w14:paraId="1CD26752" w14:textId="32DB563C" w:rsidR="009A2A31" w:rsidRDefault="001F5C92">
          <w:pPr>
            <w:pStyle w:val="TOC2"/>
            <w:tabs>
              <w:tab w:val="right" w:leader="dot" w:pos="9350"/>
            </w:tabs>
            <w:rPr>
              <w:rFonts w:eastAsiaTheme="minorEastAsia"/>
              <w:noProof/>
            </w:rPr>
          </w:pPr>
          <w:hyperlink w:anchor="_Toc45293119" w:history="1">
            <w:r w:rsidR="009A2A31" w:rsidRPr="001501EF">
              <w:rPr>
                <w:rStyle w:val="Hyperlink"/>
                <w:noProof/>
              </w:rPr>
              <w:t>Training and Job Aids</w:t>
            </w:r>
            <w:r w:rsidR="009A2A31">
              <w:rPr>
                <w:noProof/>
                <w:webHidden/>
              </w:rPr>
              <w:tab/>
            </w:r>
            <w:r w:rsidR="009A2A31">
              <w:rPr>
                <w:noProof/>
                <w:webHidden/>
              </w:rPr>
              <w:fldChar w:fldCharType="begin"/>
            </w:r>
            <w:r w:rsidR="009A2A31">
              <w:rPr>
                <w:noProof/>
                <w:webHidden/>
              </w:rPr>
              <w:instrText xml:space="preserve"> PAGEREF _Toc45293119 \h </w:instrText>
            </w:r>
            <w:r w:rsidR="009A2A31">
              <w:rPr>
                <w:noProof/>
                <w:webHidden/>
              </w:rPr>
            </w:r>
            <w:r w:rsidR="009A2A31">
              <w:rPr>
                <w:noProof/>
                <w:webHidden/>
              </w:rPr>
              <w:fldChar w:fldCharType="separate"/>
            </w:r>
            <w:r w:rsidR="009A2A31">
              <w:rPr>
                <w:noProof/>
                <w:webHidden/>
              </w:rPr>
              <w:t>17</w:t>
            </w:r>
            <w:r w:rsidR="009A2A31">
              <w:rPr>
                <w:noProof/>
                <w:webHidden/>
              </w:rPr>
              <w:fldChar w:fldCharType="end"/>
            </w:r>
          </w:hyperlink>
        </w:p>
        <w:p w14:paraId="4ED2669E" w14:textId="1BCDA576" w:rsidR="009A2A31" w:rsidRDefault="001F5C92">
          <w:pPr>
            <w:pStyle w:val="TOC2"/>
            <w:tabs>
              <w:tab w:val="right" w:leader="dot" w:pos="9350"/>
            </w:tabs>
            <w:rPr>
              <w:rFonts w:eastAsiaTheme="minorEastAsia"/>
              <w:noProof/>
            </w:rPr>
          </w:pPr>
          <w:hyperlink w:anchor="_Toc45293120" w:history="1">
            <w:r w:rsidR="009A2A31" w:rsidRPr="001501EF">
              <w:rPr>
                <w:rStyle w:val="Hyperlink"/>
                <w:noProof/>
              </w:rPr>
              <w:t>Cross-functional teams</w:t>
            </w:r>
            <w:r w:rsidR="009A2A31">
              <w:rPr>
                <w:noProof/>
                <w:webHidden/>
              </w:rPr>
              <w:tab/>
            </w:r>
            <w:r w:rsidR="009A2A31">
              <w:rPr>
                <w:noProof/>
                <w:webHidden/>
              </w:rPr>
              <w:fldChar w:fldCharType="begin"/>
            </w:r>
            <w:r w:rsidR="009A2A31">
              <w:rPr>
                <w:noProof/>
                <w:webHidden/>
              </w:rPr>
              <w:instrText xml:space="preserve"> PAGEREF _Toc45293120 \h </w:instrText>
            </w:r>
            <w:r w:rsidR="009A2A31">
              <w:rPr>
                <w:noProof/>
                <w:webHidden/>
              </w:rPr>
            </w:r>
            <w:r w:rsidR="009A2A31">
              <w:rPr>
                <w:noProof/>
                <w:webHidden/>
              </w:rPr>
              <w:fldChar w:fldCharType="separate"/>
            </w:r>
            <w:r w:rsidR="009A2A31">
              <w:rPr>
                <w:noProof/>
                <w:webHidden/>
              </w:rPr>
              <w:t>18</w:t>
            </w:r>
            <w:r w:rsidR="009A2A31">
              <w:rPr>
                <w:noProof/>
                <w:webHidden/>
              </w:rPr>
              <w:fldChar w:fldCharType="end"/>
            </w:r>
          </w:hyperlink>
        </w:p>
        <w:p w14:paraId="78B78D38" w14:textId="7CB24D1D" w:rsidR="009A2A31" w:rsidRDefault="001F5C92">
          <w:pPr>
            <w:pStyle w:val="TOC1"/>
            <w:tabs>
              <w:tab w:val="right" w:leader="dot" w:pos="9350"/>
            </w:tabs>
            <w:rPr>
              <w:rFonts w:eastAsiaTheme="minorEastAsia"/>
              <w:noProof/>
            </w:rPr>
          </w:pPr>
          <w:hyperlink w:anchor="_Toc45293121" w:history="1">
            <w:r w:rsidR="009A2A31" w:rsidRPr="001501EF">
              <w:rPr>
                <w:rStyle w:val="Hyperlink"/>
                <w:noProof/>
              </w:rPr>
              <w:t>Summary</w:t>
            </w:r>
            <w:r w:rsidR="009A2A31">
              <w:rPr>
                <w:noProof/>
                <w:webHidden/>
              </w:rPr>
              <w:tab/>
            </w:r>
            <w:r w:rsidR="009A2A31">
              <w:rPr>
                <w:noProof/>
                <w:webHidden/>
              </w:rPr>
              <w:fldChar w:fldCharType="begin"/>
            </w:r>
            <w:r w:rsidR="009A2A31">
              <w:rPr>
                <w:noProof/>
                <w:webHidden/>
              </w:rPr>
              <w:instrText xml:space="preserve"> PAGEREF _Toc45293121 \h </w:instrText>
            </w:r>
            <w:r w:rsidR="009A2A31">
              <w:rPr>
                <w:noProof/>
                <w:webHidden/>
              </w:rPr>
            </w:r>
            <w:r w:rsidR="009A2A31">
              <w:rPr>
                <w:noProof/>
                <w:webHidden/>
              </w:rPr>
              <w:fldChar w:fldCharType="separate"/>
            </w:r>
            <w:r w:rsidR="009A2A31">
              <w:rPr>
                <w:noProof/>
                <w:webHidden/>
              </w:rPr>
              <w:t>18</w:t>
            </w:r>
            <w:r w:rsidR="009A2A31">
              <w:rPr>
                <w:noProof/>
                <w:webHidden/>
              </w:rPr>
              <w:fldChar w:fldCharType="end"/>
            </w:r>
          </w:hyperlink>
        </w:p>
        <w:p w14:paraId="34B184AC" w14:textId="49B80033" w:rsidR="009A2A31" w:rsidRDefault="001F5C92">
          <w:pPr>
            <w:pStyle w:val="TOC1"/>
            <w:tabs>
              <w:tab w:val="right" w:leader="dot" w:pos="9350"/>
            </w:tabs>
            <w:rPr>
              <w:rFonts w:eastAsiaTheme="minorEastAsia"/>
              <w:noProof/>
            </w:rPr>
          </w:pPr>
          <w:hyperlink w:anchor="_Toc45293122" w:history="1">
            <w:r w:rsidR="009A2A31" w:rsidRPr="001501EF">
              <w:rPr>
                <w:rStyle w:val="Hyperlink"/>
                <w:noProof/>
              </w:rPr>
              <w:t>Exercises</w:t>
            </w:r>
            <w:r w:rsidR="009A2A31">
              <w:rPr>
                <w:noProof/>
                <w:webHidden/>
              </w:rPr>
              <w:tab/>
            </w:r>
            <w:r w:rsidR="009A2A31">
              <w:rPr>
                <w:noProof/>
                <w:webHidden/>
              </w:rPr>
              <w:fldChar w:fldCharType="begin"/>
            </w:r>
            <w:r w:rsidR="009A2A31">
              <w:rPr>
                <w:noProof/>
                <w:webHidden/>
              </w:rPr>
              <w:instrText xml:space="preserve"> PAGEREF _Toc45293122 \h </w:instrText>
            </w:r>
            <w:r w:rsidR="009A2A31">
              <w:rPr>
                <w:noProof/>
                <w:webHidden/>
              </w:rPr>
            </w:r>
            <w:r w:rsidR="009A2A31">
              <w:rPr>
                <w:noProof/>
                <w:webHidden/>
              </w:rPr>
              <w:fldChar w:fldCharType="separate"/>
            </w:r>
            <w:r w:rsidR="009A2A31">
              <w:rPr>
                <w:noProof/>
                <w:webHidden/>
              </w:rPr>
              <w:t>19</w:t>
            </w:r>
            <w:r w:rsidR="009A2A31">
              <w:rPr>
                <w:noProof/>
                <w:webHidden/>
              </w:rPr>
              <w:fldChar w:fldCharType="end"/>
            </w:r>
          </w:hyperlink>
        </w:p>
        <w:p w14:paraId="193B808C" w14:textId="18EC09E4" w:rsidR="009A2A31" w:rsidRDefault="001F5C92">
          <w:pPr>
            <w:pStyle w:val="TOC1"/>
            <w:tabs>
              <w:tab w:val="right" w:leader="dot" w:pos="9350"/>
            </w:tabs>
            <w:rPr>
              <w:rFonts w:eastAsiaTheme="minorEastAsia"/>
              <w:noProof/>
            </w:rPr>
          </w:pPr>
          <w:hyperlink w:anchor="_Toc45293123" w:history="1">
            <w:r w:rsidR="009A2A31" w:rsidRPr="001501EF">
              <w:rPr>
                <w:rStyle w:val="Hyperlink"/>
                <w:noProof/>
              </w:rPr>
              <w:t>Appendix - Terminology and Definitions</w:t>
            </w:r>
            <w:r w:rsidR="009A2A31">
              <w:rPr>
                <w:noProof/>
                <w:webHidden/>
              </w:rPr>
              <w:tab/>
            </w:r>
            <w:r w:rsidR="009A2A31">
              <w:rPr>
                <w:noProof/>
                <w:webHidden/>
              </w:rPr>
              <w:fldChar w:fldCharType="begin"/>
            </w:r>
            <w:r w:rsidR="009A2A31">
              <w:rPr>
                <w:noProof/>
                <w:webHidden/>
              </w:rPr>
              <w:instrText xml:space="preserve"> PAGEREF _Toc45293123 \h </w:instrText>
            </w:r>
            <w:r w:rsidR="009A2A31">
              <w:rPr>
                <w:noProof/>
                <w:webHidden/>
              </w:rPr>
            </w:r>
            <w:r w:rsidR="009A2A31">
              <w:rPr>
                <w:noProof/>
                <w:webHidden/>
              </w:rPr>
              <w:fldChar w:fldCharType="separate"/>
            </w:r>
            <w:r w:rsidR="009A2A31">
              <w:rPr>
                <w:noProof/>
                <w:webHidden/>
              </w:rPr>
              <w:t>22</w:t>
            </w:r>
            <w:r w:rsidR="009A2A31">
              <w:rPr>
                <w:noProof/>
                <w:webHidden/>
              </w:rPr>
              <w:fldChar w:fldCharType="end"/>
            </w:r>
          </w:hyperlink>
        </w:p>
        <w:p w14:paraId="436BA6B7" w14:textId="1ABF27F8" w:rsidR="00E85B33" w:rsidRDefault="00E85B33">
          <w:r>
            <w:rPr>
              <w:b/>
              <w:bCs/>
              <w:noProof/>
            </w:rPr>
            <w:fldChar w:fldCharType="end"/>
          </w:r>
        </w:p>
      </w:sdtContent>
    </w:sdt>
    <w:p w14:paraId="426A1694" w14:textId="7AF0F6C4" w:rsidR="007946F7" w:rsidRDefault="007946F7" w:rsidP="007946F7">
      <w:pPr>
        <w:jc w:val="center"/>
        <w:rPr>
          <w:b/>
          <w:bCs/>
        </w:rPr>
      </w:pPr>
    </w:p>
    <w:p w14:paraId="07E3BEC7" w14:textId="77777777" w:rsidR="0092688B" w:rsidRDefault="0092688B">
      <w:pPr>
        <w:rPr>
          <w:b/>
          <w:bCs/>
        </w:rPr>
        <w:sectPr w:rsidR="0092688B">
          <w:footerReference w:type="default" r:id="rId9"/>
          <w:pgSz w:w="12240" w:h="15840"/>
          <w:pgMar w:top="1440" w:right="1440" w:bottom="1440" w:left="1440" w:header="720" w:footer="720" w:gutter="0"/>
          <w:cols w:space="720"/>
          <w:docGrid w:linePitch="360"/>
        </w:sectPr>
      </w:pPr>
    </w:p>
    <w:p w14:paraId="5EFE677A" w14:textId="749047B5" w:rsidR="007946F7" w:rsidRDefault="007946F7" w:rsidP="00AF010E">
      <w:pPr>
        <w:pStyle w:val="Heading1"/>
      </w:pPr>
      <w:bookmarkStart w:id="0" w:name="_Toc45293098"/>
      <w:r>
        <w:lastRenderedPageBreak/>
        <w:t>Introduction</w:t>
      </w:r>
      <w:bookmarkEnd w:id="0"/>
    </w:p>
    <w:p w14:paraId="6893AD2B" w14:textId="77777777" w:rsidR="00810180" w:rsidRDefault="00810180" w:rsidP="006C23F7">
      <w:pPr>
        <w:jc w:val="both"/>
      </w:pPr>
    </w:p>
    <w:p w14:paraId="5E1BF033" w14:textId="6409371D" w:rsidR="007946F7" w:rsidRDefault="00810180" w:rsidP="006C23F7">
      <w:pPr>
        <w:jc w:val="both"/>
      </w:pPr>
      <w:r>
        <w:t>The way h</w:t>
      </w:r>
      <w:r w:rsidR="007946F7">
        <w:t xml:space="preserve">ealthcare providers </w:t>
      </w:r>
      <w:r w:rsidR="003F1F6F">
        <w:t xml:space="preserve">receive payment </w:t>
      </w:r>
      <w:r w:rsidR="00E21C54">
        <w:t xml:space="preserve">for the care they administer to their patients </w:t>
      </w:r>
      <w:r w:rsidR="007946F7">
        <w:t>differ</w:t>
      </w:r>
      <w:r w:rsidR="00E21C54">
        <w:t>s</w:t>
      </w:r>
      <w:r w:rsidR="007946F7">
        <w:t xml:space="preserve"> </w:t>
      </w:r>
      <w:r w:rsidR="00E21C54">
        <w:t xml:space="preserve">significantly </w:t>
      </w:r>
      <w:r w:rsidR="007946F7">
        <w:t xml:space="preserve">from most other industries.  If you walk into any retail establishment, you must pay for your purchase prior to leaving the store with the item(s).  A healthcare provider receives payment from payers at </w:t>
      </w:r>
      <w:r w:rsidR="006D1DDE">
        <w:t>be</w:t>
      </w:r>
      <w:r w:rsidR="007946F7">
        <w:t xml:space="preserve">st 30 days after the service was rendered, though they may collect co-pays from their patients at time of service (typically </w:t>
      </w:r>
      <w:r w:rsidR="00C363E6">
        <w:t>a small</w:t>
      </w:r>
      <w:r w:rsidR="007946F7">
        <w:t xml:space="preserve"> portion of the total amount they are due).</w:t>
      </w:r>
    </w:p>
    <w:p w14:paraId="41054996" w14:textId="7DA4E533" w:rsidR="00604B84" w:rsidRDefault="007946F7" w:rsidP="006C23F7">
      <w:pPr>
        <w:jc w:val="both"/>
      </w:pPr>
      <w:r>
        <w:t xml:space="preserve">The revenue cycle is how a provider realizes revenue from the services </w:t>
      </w:r>
      <w:r w:rsidR="00E21C54">
        <w:t>provided</w:t>
      </w:r>
      <w:r>
        <w:t xml:space="preserve"> to patients.  It begins at the initial point of contact </w:t>
      </w:r>
      <w:r w:rsidR="0045296F">
        <w:t xml:space="preserve">with the patient </w:t>
      </w:r>
      <w:r>
        <w:t xml:space="preserve">and normally ends </w:t>
      </w:r>
      <w:r w:rsidR="00165093">
        <w:t xml:space="preserve">when the provider files </w:t>
      </w:r>
      <w:r w:rsidR="00941E28">
        <w:t xml:space="preserve">a claim and is paid for service </w:t>
      </w:r>
      <w:r w:rsidR="003F1F6F">
        <w:t>(</w:t>
      </w:r>
      <w:r>
        <w:t>or write</w:t>
      </w:r>
      <w:r w:rsidR="00941E28">
        <w:t xml:space="preserve">s </w:t>
      </w:r>
      <w:r>
        <w:t xml:space="preserve">off a patient’s account </w:t>
      </w:r>
      <w:r w:rsidR="00CF7D3D">
        <w:t>balance if</w:t>
      </w:r>
      <w:r w:rsidR="003F1F6F">
        <w:t xml:space="preserve"> no payment is received)</w:t>
      </w:r>
      <w:r>
        <w:t xml:space="preserve">.  </w:t>
      </w:r>
      <w:r w:rsidR="00404610">
        <w:t xml:space="preserve">Similar processes exist for hospitals </w:t>
      </w:r>
      <w:r w:rsidR="006E03A2">
        <w:t>(in-patient and out-patient care) and</w:t>
      </w:r>
      <w:r w:rsidR="00404610">
        <w:t xml:space="preserve"> </w:t>
      </w:r>
      <w:r w:rsidR="006E03A2">
        <w:t>individual physician practices and specialties.</w:t>
      </w:r>
    </w:p>
    <w:p w14:paraId="3D0D48A3" w14:textId="5E8EA969" w:rsidR="00604B84" w:rsidRDefault="00604B84" w:rsidP="00604B84">
      <w:pPr>
        <w:jc w:val="center"/>
      </w:pPr>
      <w:r w:rsidRPr="00604B84">
        <w:rPr>
          <w:noProof/>
        </w:rPr>
        <w:drawing>
          <wp:inline distT="0" distB="0" distL="0" distR="0" wp14:anchorId="754922CC" wp14:editId="11C8F322">
            <wp:extent cx="3705225" cy="2120608"/>
            <wp:effectExtent l="0" t="0" r="0" b="0"/>
            <wp:docPr id="16" name="Picture 2">
              <a:extLst xmlns:a="http://schemas.openxmlformats.org/drawingml/2006/main">
                <a:ext uri="{FF2B5EF4-FFF2-40B4-BE49-F238E27FC236}">
                  <a16:creationId xmlns:a16="http://schemas.microsoft.com/office/drawing/2014/main" id="{5FA15DC9-7E7D-4C99-91C3-BD3E7DBDEF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FA15DC9-7E7D-4C99-91C3-BD3E7DBDEFCC}"/>
                        </a:ext>
                      </a:extLst>
                    </pic:cNvPr>
                    <pic:cNvPicPr>
                      <a:picLocks noChangeAspect="1"/>
                    </pic:cNvPicPr>
                  </pic:nvPicPr>
                  <pic:blipFill rotWithShape="1">
                    <a:blip r:embed="rId10"/>
                    <a:srcRect t="20669"/>
                    <a:stretch/>
                  </pic:blipFill>
                  <pic:spPr>
                    <a:xfrm>
                      <a:off x="0" y="0"/>
                      <a:ext cx="3711689" cy="2124308"/>
                    </a:xfrm>
                    <a:prstGeom prst="rect">
                      <a:avLst/>
                    </a:prstGeom>
                  </pic:spPr>
                </pic:pic>
              </a:graphicData>
            </a:graphic>
          </wp:inline>
        </w:drawing>
      </w:r>
    </w:p>
    <w:p w14:paraId="4392B1FA" w14:textId="4F137C16" w:rsidR="00931D13" w:rsidRPr="00931D13" w:rsidRDefault="00931D13" w:rsidP="006C23F7">
      <w:pPr>
        <w:jc w:val="both"/>
        <w:rPr>
          <w:b/>
          <w:bCs/>
          <w:i/>
          <w:iCs/>
          <w:sz w:val="18"/>
          <w:szCs w:val="18"/>
        </w:rPr>
      </w:pPr>
      <w:r w:rsidRPr="00931D13">
        <w:rPr>
          <w:b/>
          <w:bCs/>
          <w:i/>
          <w:iCs/>
          <w:sz w:val="18"/>
          <w:szCs w:val="18"/>
        </w:rPr>
        <w:t>Figure 1 – Revenue Cycle Overview.</w:t>
      </w:r>
    </w:p>
    <w:p w14:paraId="3845E915" w14:textId="0E3287DC" w:rsidR="00E662A1" w:rsidRDefault="00E662A1" w:rsidP="006C23F7">
      <w:pPr>
        <w:jc w:val="both"/>
      </w:pPr>
      <w:r>
        <w:t xml:space="preserve">Historically, healthcare providers followed a fee-for-service delivery model, meaning that they basically billed – and were subsequently paid -- for every supply and service they delivered.  Today, we see </w:t>
      </w:r>
      <w:r w:rsidR="003F1F6F">
        <w:t>a</w:t>
      </w:r>
      <w:r>
        <w:t xml:space="preserve"> move</w:t>
      </w:r>
      <w:r w:rsidR="003F1F6F">
        <w:t>ment</w:t>
      </w:r>
      <w:r>
        <w:t xml:space="preserve"> towards newer payment models – where payers now </w:t>
      </w:r>
      <w:r w:rsidR="002549E9">
        <w:t xml:space="preserve">pay only a </w:t>
      </w:r>
      <w:r w:rsidR="0045296F">
        <w:t>fixed</w:t>
      </w:r>
      <w:r w:rsidR="002549E9">
        <w:t xml:space="preserve"> amount for an episode of care, or</w:t>
      </w:r>
      <w:r w:rsidR="00673158">
        <w:t xml:space="preserve"> even </w:t>
      </w:r>
      <w:r>
        <w:t xml:space="preserve">align value </w:t>
      </w:r>
      <w:r w:rsidR="002549E9">
        <w:t xml:space="preserve">(patient outcomes) </w:t>
      </w:r>
      <w:r>
        <w:t xml:space="preserve">with payment.  The provider may only receive </w:t>
      </w:r>
      <w:r w:rsidR="0045296F">
        <w:t>a set</w:t>
      </w:r>
      <w:r w:rsidR="002549E9">
        <w:t xml:space="preserve"> </w:t>
      </w:r>
      <w:r>
        <w:t>dollar amount for a type of diagnosis or level of care, forcing them to look closely at use of resources, documentation, level of care, and many other aspects</w:t>
      </w:r>
      <w:r w:rsidR="006D1DDE">
        <w:t xml:space="preserve"> related to their costs</w:t>
      </w:r>
      <w:r w:rsidR="00AF5D21">
        <w:t xml:space="preserve"> and ability to collect revenue</w:t>
      </w:r>
      <w:r w:rsidR="003F1F6F">
        <w:t xml:space="preserve"> (and ensure that the cost doesn’t exceed the payment)</w:t>
      </w:r>
      <w:r w:rsidR="00AF5D21">
        <w:t>.</w:t>
      </w:r>
      <w:r w:rsidR="002549E9">
        <w:t xml:space="preserve">  And further complicating matters, the average provider deals with 10 or more payers, each with their own</w:t>
      </w:r>
      <w:r w:rsidR="001269D2">
        <w:t xml:space="preserve"> unique</w:t>
      </w:r>
      <w:r w:rsidR="002549E9">
        <w:t xml:space="preserve"> contractual requirements.</w:t>
      </w:r>
    </w:p>
    <w:p w14:paraId="30F06032" w14:textId="46030A3B" w:rsidR="00E46656" w:rsidRDefault="001A5B71" w:rsidP="006C23F7">
      <w:pPr>
        <w:jc w:val="both"/>
      </w:pPr>
      <w:r>
        <w:t>A</w:t>
      </w:r>
      <w:r w:rsidR="00C363E6">
        <w:t xml:space="preserve">s </w:t>
      </w:r>
      <w:r w:rsidR="002238FC">
        <w:t xml:space="preserve">high deductible health plans </w:t>
      </w:r>
      <w:r w:rsidR="002A7846">
        <w:t xml:space="preserve">have </w:t>
      </w:r>
      <w:r w:rsidR="002238FC">
        <w:t>grow</w:t>
      </w:r>
      <w:r w:rsidR="002A7846">
        <w:t>n</w:t>
      </w:r>
      <w:r w:rsidR="002238FC">
        <w:t xml:space="preserve"> in popularity, providers face</w:t>
      </w:r>
      <w:r w:rsidR="00336109" w:rsidRPr="00336109">
        <w:t xml:space="preserve"> </w:t>
      </w:r>
      <w:r w:rsidR="00336109">
        <w:t>additional challenges</w:t>
      </w:r>
      <w:r w:rsidR="002238FC">
        <w:t xml:space="preserve"> in collecting </w:t>
      </w:r>
      <w:r w:rsidR="0049531E">
        <w:t xml:space="preserve">payments directly from patients.  </w:t>
      </w:r>
      <w:r w:rsidR="00E46656">
        <w:t xml:space="preserve">Making these large payments has become an exceedingly difficult for many consumers, and providers find themselves </w:t>
      </w:r>
      <w:r w:rsidR="00EC5F66">
        <w:t>with growing outstanding receivables</w:t>
      </w:r>
      <w:r w:rsidR="00B325B1">
        <w:t xml:space="preserve"> and bad debt.</w:t>
      </w:r>
    </w:p>
    <w:p w14:paraId="35556B93" w14:textId="12C74CCE" w:rsidR="007946F7" w:rsidRDefault="007946F7" w:rsidP="006C23F7">
      <w:pPr>
        <w:jc w:val="both"/>
      </w:pPr>
      <w:r>
        <w:t xml:space="preserve">There are many players in the revenue cycle and a series of processes that are followed.  </w:t>
      </w:r>
      <w:r w:rsidR="00CF61C0">
        <w:t xml:space="preserve">It takes a coordinated approach between </w:t>
      </w:r>
      <w:r w:rsidR="00DE6208">
        <w:t>the front office (scheduling),</w:t>
      </w:r>
      <w:r w:rsidR="008363B7">
        <w:t xml:space="preserve"> </w:t>
      </w:r>
      <w:r w:rsidR="00B63BAF">
        <w:t xml:space="preserve">the </w:t>
      </w:r>
      <w:r w:rsidR="00DE6208">
        <w:t>back office (billing/collections) and clinical staff</w:t>
      </w:r>
      <w:r w:rsidR="002A7846">
        <w:t xml:space="preserve"> to be successful</w:t>
      </w:r>
      <w:r w:rsidR="00B63BAF">
        <w:t xml:space="preserve">.  </w:t>
      </w:r>
      <w:r>
        <w:t xml:space="preserve">How well they </w:t>
      </w:r>
      <w:r w:rsidR="00B63BAF">
        <w:t>execute on their responsibilities</w:t>
      </w:r>
      <w:r>
        <w:t xml:space="preserve"> can mean the difference between a profitable practice and a money-losing practice</w:t>
      </w:r>
      <w:r w:rsidR="003A455C">
        <w:t xml:space="preserve">, and this is where data analytics and </w:t>
      </w:r>
      <w:r w:rsidR="00AC40DB">
        <w:t xml:space="preserve">process </w:t>
      </w:r>
      <w:r w:rsidR="00AC40DB">
        <w:lastRenderedPageBreak/>
        <w:t xml:space="preserve">design can make an impact.  The many tools </w:t>
      </w:r>
      <w:r w:rsidR="00DA55A8">
        <w:t>used by industrial</w:t>
      </w:r>
      <w:r w:rsidR="00AC40DB">
        <w:t xml:space="preserve"> engineers </w:t>
      </w:r>
      <w:r w:rsidR="00DA55A8">
        <w:t xml:space="preserve">and similar practitioners </w:t>
      </w:r>
      <w:r w:rsidR="0007451E">
        <w:t xml:space="preserve">can identify weaknesses and problem </w:t>
      </w:r>
      <w:r w:rsidR="00604B84">
        <w:t>areas and</w:t>
      </w:r>
      <w:r w:rsidR="0007451E">
        <w:t xml:space="preserve"> identify opportunities for improvement.</w:t>
      </w:r>
    </w:p>
    <w:p w14:paraId="02DA3F1A" w14:textId="30E050BD" w:rsidR="00604B84" w:rsidRDefault="00604B84" w:rsidP="006C23F7">
      <w:pPr>
        <w:jc w:val="both"/>
      </w:pPr>
    </w:p>
    <w:p w14:paraId="679EC6C5" w14:textId="53FDD671" w:rsidR="007946F7" w:rsidRDefault="007946F7" w:rsidP="00AF010E">
      <w:pPr>
        <w:pStyle w:val="Heading1"/>
      </w:pPr>
      <w:bookmarkStart w:id="1" w:name="_Toc45293099"/>
      <w:r w:rsidRPr="007946F7">
        <w:t>Stages of the Revenue Cycle</w:t>
      </w:r>
      <w:bookmarkEnd w:id="1"/>
    </w:p>
    <w:p w14:paraId="16EDDBD3" w14:textId="487DEA49" w:rsidR="00D16186" w:rsidRPr="00506763" w:rsidRDefault="00A577F0" w:rsidP="00AF010E">
      <w:pPr>
        <w:pStyle w:val="Heading2"/>
      </w:pPr>
      <w:bookmarkStart w:id="2" w:name="_Toc45293100"/>
      <w:r w:rsidRPr="00506763">
        <w:t>Pre-Arrival</w:t>
      </w:r>
      <w:bookmarkEnd w:id="2"/>
    </w:p>
    <w:p w14:paraId="40EC6191" w14:textId="77777777" w:rsidR="008C0F83" w:rsidRDefault="00785AA6" w:rsidP="006C23F7">
      <w:pPr>
        <w:jc w:val="both"/>
      </w:pPr>
      <w:r w:rsidRPr="00785AA6">
        <w:rPr>
          <w:noProof/>
        </w:rPr>
        <w:drawing>
          <wp:anchor distT="0" distB="0" distL="114300" distR="114300" simplePos="0" relativeHeight="251658240" behindDoc="0" locked="0" layoutInCell="1" allowOverlap="1" wp14:anchorId="0AF219C9" wp14:editId="1CF41A1D">
            <wp:simplePos x="0" y="0"/>
            <wp:positionH relativeFrom="column">
              <wp:posOffset>0</wp:posOffset>
            </wp:positionH>
            <wp:positionV relativeFrom="paragraph">
              <wp:posOffset>-4445</wp:posOffset>
            </wp:positionV>
            <wp:extent cx="2214465" cy="2867608"/>
            <wp:effectExtent l="0" t="0" r="0" b="9525"/>
            <wp:wrapSquare wrapText="bothSides"/>
            <wp:docPr id="6" name="Picture 5">
              <a:extLst xmlns:a="http://schemas.openxmlformats.org/drawingml/2006/main">
                <a:ext uri="{FF2B5EF4-FFF2-40B4-BE49-F238E27FC236}">
                  <a16:creationId xmlns:a16="http://schemas.microsoft.com/office/drawing/2014/main" id="{6DF4A220-CA0F-47BF-8395-8AD8DE2B95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F4A220-CA0F-47BF-8395-8AD8DE2B95C3}"/>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3963" t="39849" r="68266" b="25633"/>
                    <a:stretch/>
                  </pic:blipFill>
                  <pic:spPr>
                    <a:xfrm>
                      <a:off x="0" y="0"/>
                      <a:ext cx="2214465" cy="2867608"/>
                    </a:xfrm>
                    <a:prstGeom prst="rect">
                      <a:avLst/>
                    </a:prstGeom>
                  </pic:spPr>
                </pic:pic>
              </a:graphicData>
            </a:graphic>
            <wp14:sizeRelH relativeFrom="page">
              <wp14:pctWidth>0</wp14:pctWidth>
            </wp14:sizeRelH>
            <wp14:sizeRelV relativeFrom="page">
              <wp14:pctHeight>0</wp14:pctHeight>
            </wp14:sizeRelV>
          </wp:anchor>
        </w:drawing>
      </w:r>
      <w:r w:rsidR="00B36FB1">
        <w:t>The time prior t</w:t>
      </w:r>
      <w:r w:rsidR="004C0980">
        <w:t xml:space="preserve">o </w:t>
      </w:r>
      <w:r w:rsidR="00B36FB1">
        <w:t>a</w:t>
      </w:r>
      <w:r w:rsidR="004C0980">
        <w:t xml:space="preserve"> patient’s arrival to receive care</w:t>
      </w:r>
      <w:r w:rsidR="00B36FB1">
        <w:t xml:space="preserve"> is an opportune time to prepare and </w:t>
      </w:r>
      <w:r w:rsidR="00673158">
        <w:t xml:space="preserve">collect </w:t>
      </w:r>
      <w:r w:rsidR="00C41E07">
        <w:t xml:space="preserve">several key pieces of information.  </w:t>
      </w:r>
      <w:r w:rsidR="00925DE8">
        <w:t xml:space="preserve">A healthcare provider’s staff </w:t>
      </w:r>
      <w:r w:rsidR="00C41E07">
        <w:t xml:space="preserve">should </w:t>
      </w:r>
      <w:r w:rsidR="00925DE8">
        <w:t>receive</w:t>
      </w:r>
      <w:r w:rsidR="00B44977">
        <w:t xml:space="preserve"> all relevant</w:t>
      </w:r>
      <w:r w:rsidR="00C41E07">
        <w:t xml:space="preserve"> patient insurance </w:t>
      </w:r>
      <w:r w:rsidR="00BF343E">
        <w:t>information</w:t>
      </w:r>
      <w:r w:rsidR="00A90D53">
        <w:t>,</w:t>
      </w:r>
      <w:r w:rsidR="00BF343E">
        <w:t xml:space="preserve"> and </w:t>
      </w:r>
      <w:r>
        <w:t xml:space="preserve">they should </w:t>
      </w:r>
      <w:r w:rsidR="008C3FC6">
        <w:t>verify that</w:t>
      </w:r>
      <w:r w:rsidR="00BF343E">
        <w:t xml:space="preserve"> the patient is </w:t>
      </w:r>
      <w:r w:rsidR="00A17740">
        <w:t>still</w:t>
      </w:r>
      <w:r w:rsidR="00BF343E">
        <w:t xml:space="preserve"> eligible and participating in the insurance plan.  </w:t>
      </w:r>
      <w:r w:rsidR="00B0116D">
        <w:t xml:space="preserve">(Though not as common, the patient may have </w:t>
      </w:r>
      <w:r w:rsidR="00C66DCC">
        <w:t xml:space="preserve">secondary as well as </w:t>
      </w:r>
      <w:r w:rsidR="00B0116D">
        <w:t>primary payer/coverage</w:t>
      </w:r>
      <w:r w:rsidR="000D42F6">
        <w:rPr>
          <w:rStyle w:val="FootnoteReference"/>
        </w:rPr>
        <w:footnoteReference w:id="1"/>
      </w:r>
      <w:r w:rsidR="00B0116D">
        <w:t xml:space="preserve">, so this question needs to be asked </w:t>
      </w:r>
      <w:r w:rsidR="00C8660A">
        <w:t>and</w:t>
      </w:r>
      <w:r w:rsidR="00A57F8D">
        <w:t xml:space="preserve"> </w:t>
      </w:r>
      <w:r w:rsidR="00C8660A">
        <w:t xml:space="preserve">information collected </w:t>
      </w:r>
      <w:r w:rsidR="00B0116D">
        <w:t xml:space="preserve">as well.)  </w:t>
      </w:r>
      <w:r w:rsidR="00C8660A">
        <w:t>A provider</w:t>
      </w:r>
      <w:r w:rsidR="00BF343E">
        <w:t xml:space="preserve"> </w:t>
      </w:r>
      <w:r w:rsidR="008C3FC6">
        <w:t xml:space="preserve">may also need obtain authorization from the payer </w:t>
      </w:r>
      <w:r w:rsidR="00673158">
        <w:t xml:space="preserve">to provide this care (and </w:t>
      </w:r>
      <w:r w:rsidR="008C0F83">
        <w:t xml:space="preserve">ensure </w:t>
      </w:r>
      <w:r w:rsidR="00673158">
        <w:t>payment</w:t>
      </w:r>
      <w:r w:rsidR="008C0F83">
        <w:t xml:space="preserve"> will be issued</w:t>
      </w:r>
      <w:r w:rsidR="00673158">
        <w:t>)</w:t>
      </w:r>
      <w:r w:rsidR="005570F0">
        <w:t xml:space="preserve">.  </w:t>
      </w:r>
      <w:r w:rsidR="006D1DDE">
        <w:t xml:space="preserve">This may require additional </w:t>
      </w:r>
      <w:r w:rsidR="008565CC">
        <w:t xml:space="preserve">contact with the payer to verify and confirm.  </w:t>
      </w:r>
    </w:p>
    <w:p w14:paraId="64E0E9D9" w14:textId="1514900B" w:rsidR="00506763" w:rsidRDefault="00424C42" w:rsidP="006C23F7">
      <w:pPr>
        <w:jc w:val="both"/>
      </w:pPr>
      <w:r>
        <w:t xml:space="preserve">Scheduling the </w:t>
      </w:r>
      <w:r w:rsidR="005B1AC6">
        <w:t>care</w:t>
      </w:r>
      <w:r>
        <w:t xml:space="preserve"> </w:t>
      </w:r>
      <w:r w:rsidR="005B1AC6">
        <w:t xml:space="preserve">at a time that works for the patient </w:t>
      </w:r>
      <w:r>
        <w:t xml:space="preserve">and </w:t>
      </w:r>
      <w:r w:rsidR="005B1AC6">
        <w:t>sending out reminders are also key strategies</w:t>
      </w:r>
      <w:r w:rsidR="007659A2">
        <w:t xml:space="preserve"> to ensure the patient makes the appointment.  (</w:t>
      </w:r>
      <w:r w:rsidR="009764FE">
        <w:t xml:space="preserve">Patient </w:t>
      </w:r>
      <w:r w:rsidR="007659A2">
        <w:t>“</w:t>
      </w:r>
      <w:r w:rsidR="009764FE">
        <w:t>n</w:t>
      </w:r>
      <w:r w:rsidR="007659A2">
        <w:t xml:space="preserve">o-shows” can be an issue for providers and </w:t>
      </w:r>
      <w:r w:rsidR="00AC16AC">
        <w:t xml:space="preserve">can </w:t>
      </w:r>
      <w:r w:rsidR="007659A2">
        <w:t xml:space="preserve">also </w:t>
      </w:r>
      <w:r w:rsidR="00AC16AC">
        <w:t xml:space="preserve">be </w:t>
      </w:r>
      <w:r w:rsidR="007659A2">
        <w:t>another revenue loss factor</w:t>
      </w:r>
      <w:r w:rsidR="00673158">
        <w:t>.</w:t>
      </w:r>
      <w:r w:rsidR="007659A2">
        <w:t>)</w:t>
      </w:r>
      <w:r w:rsidR="002B1B0E">
        <w:t xml:space="preserve">  </w:t>
      </w:r>
      <w:r w:rsidR="006B7E01">
        <w:t xml:space="preserve">Staff must also work to </w:t>
      </w:r>
      <w:r w:rsidR="002B1B0E">
        <w:t xml:space="preserve">fill up schedules as much as possible to avoid </w:t>
      </w:r>
      <w:r w:rsidR="006B7E01">
        <w:t xml:space="preserve">gaps in the clinicians’ </w:t>
      </w:r>
      <w:r w:rsidR="00FC136F">
        <w:t>workdays</w:t>
      </w:r>
      <w:r w:rsidR="00B51B66">
        <w:t xml:space="preserve"> and ensure a steady stream of </w:t>
      </w:r>
      <w:r w:rsidR="008C0F83">
        <w:t xml:space="preserve">patients (and </w:t>
      </w:r>
      <w:r w:rsidR="00B51B66">
        <w:t>revenue</w:t>
      </w:r>
      <w:r w:rsidR="008C0F83">
        <w:t>)</w:t>
      </w:r>
      <w:r w:rsidR="00B51B66">
        <w:t>.</w:t>
      </w:r>
    </w:p>
    <w:p w14:paraId="12834D88" w14:textId="371F67DF" w:rsidR="00815735" w:rsidRDefault="00815735" w:rsidP="006C23F7">
      <w:pPr>
        <w:jc w:val="both"/>
      </w:pPr>
      <w:r>
        <w:t>D</w:t>
      </w:r>
      <w:r w:rsidR="00A90D53">
        <w:t>iscussing</w:t>
      </w:r>
      <w:r w:rsidR="002A04A1">
        <w:t xml:space="preserve"> the cost of care and</w:t>
      </w:r>
      <w:r w:rsidR="00A90D53">
        <w:t xml:space="preserve"> payment arrangements with the patient prior to </w:t>
      </w:r>
      <w:r w:rsidR="00997617">
        <w:t>administering care is another strategy that providers can use</w:t>
      </w:r>
      <w:r w:rsidR="004E51D7">
        <w:t xml:space="preserve">. </w:t>
      </w:r>
      <w:r w:rsidR="00786319">
        <w:t xml:space="preserve">  These types of discussions</w:t>
      </w:r>
      <w:r w:rsidR="00B44977">
        <w:t xml:space="preserve">, while not always comfortable or pleasant, </w:t>
      </w:r>
      <w:r w:rsidR="00785AA6">
        <w:t xml:space="preserve">can </w:t>
      </w:r>
      <w:r w:rsidR="00B44977">
        <w:t>help avoid issues later.</w:t>
      </w:r>
      <w:r w:rsidR="00813DDE" w:rsidRPr="00813DDE">
        <w:t xml:space="preserve"> </w:t>
      </w:r>
      <w:r w:rsidR="00813DDE">
        <w:t xml:space="preserve"> </w:t>
      </w:r>
      <w:r w:rsidR="00CD451F">
        <w:t>(It may also require additional training for staff.)</w:t>
      </w:r>
      <w:r w:rsidR="00813DDE">
        <w:t xml:space="preserve"> For example, </w:t>
      </w:r>
      <w:r w:rsidR="00BE44B4">
        <w:t xml:space="preserve">a provider may ask </w:t>
      </w:r>
      <w:r w:rsidR="00E92886">
        <w:t>a</w:t>
      </w:r>
      <w:r w:rsidR="00BE44B4">
        <w:t xml:space="preserve"> patient to sign </w:t>
      </w:r>
      <w:r w:rsidR="00813DDE">
        <w:t xml:space="preserve">an Advance Beneficiary Notice (“ABN”) </w:t>
      </w:r>
      <w:r w:rsidR="007D1966">
        <w:t>in advance of a procedure</w:t>
      </w:r>
      <w:r w:rsidR="00813DDE">
        <w:t>.  The ABN, also known as a waiver of liability, is considered a warning that Medicare may not pay for this particular care or treatment, and that the patient may be responsible for paying for this service</w:t>
      </w:r>
      <w:r w:rsidR="00013966">
        <w:t xml:space="preserve"> if Medicare does not cover it.</w:t>
      </w:r>
    </w:p>
    <w:p w14:paraId="5CCAAABE" w14:textId="2872112F" w:rsidR="00BB3E5B" w:rsidRPr="00B44977" w:rsidRDefault="00BB3E5B" w:rsidP="00AF010E">
      <w:pPr>
        <w:pStyle w:val="Heading2"/>
      </w:pPr>
      <w:bookmarkStart w:id="3" w:name="_Toc45293101"/>
      <w:r w:rsidRPr="00B44977">
        <w:lastRenderedPageBreak/>
        <w:t>Arrival</w:t>
      </w:r>
      <w:bookmarkEnd w:id="3"/>
    </w:p>
    <w:p w14:paraId="0882B186" w14:textId="3B4E158E" w:rsidR="00A1199F" w:rsidRDefault="003F2757" w:rsidP="00644C9E">
      <w:pPr>
        <w:jc w:val="both"/>
      </w:pPr>
      <w:r w:rsidRPr="003F2757">
        <w:rPr>
          <w:noProof/>
        </w:rPr>
        <w:drawing>
          <wp:anchor distT="0" distB="0" distL="114300" distR="114300" simplePos="0" relativeHeight="251659264" behindDoc="0" locked="0" layoutInCell="1" allowOverlap="1" wp14:anchorId="36DEC6C2" wp14:editId="61D0F6F8">
            <wp:simplePos x="0" y="0"/>
            <wp:positionH relativeFrom="column">
              <wp:posOffset>4295775</wp:posOffset>
            </wp:positionH>
            <wp:positionV relativeFrom="paragraph">
              <wp:posOffset>9525</wp:posOffset>
            </wp:positionV>
            <wp:extent cx="2249805" cy="2901950"/>
            <wp:effectExtent l="0" t="0" r="0" b="0"/>
            <wp:wrapSquare wrapText="bothSides"/>
            <wp:docPr id="3" name="Picture 2">
              <a:extLst xmlns:a="http://schemas.openxmlformats.org/drawingml/2006/main">
                <a:ext uri="{FF2B5EF4-FFF2-40B4-BE49-F238E27FC236}">
                  <a16:creationId xmlns:a16="http://schemas.microsoft.com/office/drawing/2014/main" id="{84D40EB3-8A33-4C66-81FA-C0DF09521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4D40EB3-8A33-4C66-81FA-C0DF0952176C}"/>
                        </a:ext>
                      </a:extLst>
                    </pic:cNvPr>
                    <pic:cNvPicPr>
                      <a:picLocks noChangeAspect="1"/>
                    </pic:cNvPicPr>
                  </pic:nvPicPr>
                  <pic:blipFill rotWithShape="1">
                    <a:blip r:embed="rId11">
                      <a:extLst>
                        <a:ext uri="{28A0092B-C50C-407E-A947-70E740481C1C}">
                          <a14:useLocalDpi xmlns:a14="http://schemas.microsoft.com/office/drawing/2010/main" val="0"/>
                        </a:ext>
                      </a:extLst>
                    </a:blip>
                    <a:srcRect l="31184" t="39325" r="50895" b="26007"/>
                    <a:stretch/>
                  </pic:blipFill>
                  <pic:spPr>
                    <a:xfrm>
                      <a:off x="0" y="0"/>
                      <a:ext cx="2249805" cy="2901950"/>
                    </a:xfrm>
                    <a:prstGeom prst="rect">
                      <a:avLst/>
                    </a:prstGeom>
                  </pic:spPr>
                </pic:pic>
              </a:graphicData>
            </a:graphic>
            <wp14:sizeRelH relativeFrom="page">
              <wp14:pctWidth>0</wp14:pctWidth>
            </wp14:sizeRelH>
            <wp14:sizeRelV relativeFrom="page">
              <wp14:pctHeight>0</wp14:pctHeight>
            </wp14:sizeRelV>
          </wp:anchor>
        </w:drawing>
      </w:r>
      <w:r w:rsidR="00404610">
        <w:t>Once the patient arrives for care</w:t>
      </w:r>
      <w:r w:rsidR="003375C5">
        <w:t>, a final check of all insurance information and eligibility should be completed.  (Unfortunately, there are many instances where a patient’s insurance coverage changes from the time of scheduling to the actual service</w:t>
      </w:r>
      <w:r w:rsidR="006C3758">
        <w:t xml:space="preserve"> date</w:t>
      </w:r>
      <w:r w:rsidR="00E35664">
        <w:t xml:space="preserve">, so it is always a good practice to verify </w:t>
      </w:r>
      <w:r w:rsidR="00516B13">
        <w:t xml:space="preserve">eligibility again </w:t>
      </w:r>
      <w:r w:rsidR="00E35664">
        <w:t>at time of service</w:t>
      </w:r>
      <w:r w:rsidR="003375C5">
        <w:t xml:space="preserve">.)  </w:t>
      </w:r>
      <w:r w:rsidR="00E0645E">
        <w:t>The patient complete</w:t>
      </w:r>
      <w:r w:rsidR="00516B13">
        <w:t>s any</w:t>
      </w:r>
      <w:r w:rsidR="00E0645E">
        <w:t xml:space="preserve"> admission forms or other </w:t>
      </w:r>
      <w:r w:rsidR="002D2180">
        <w:t>paperwork needed by the caregiver</w:t>
      </w:r>
      <w:r w:rsidR="00516B13">
        <w:t xml:space="preserve"> (such as additional health history, family contact information, etc</w:t>
      </w:r>
      <w:r w:rsidR="002D2180">
        <w:t>.</w:t>
      </w:r>
      <w:r w:rsidR="00516B13">
        <w:t>).</w:t>
      </w:r>
      <w:r w:rsidR="002D2180">
        <w:t xml:space="preserve">  </w:t>
      </w:r>
      <w:r w:rsidR="004A513D">
        <w:t xml:space="preserve">The provider’s staff will </w:t>
      </w:r>
      <w:r w:rsidR="0074066C">
        <w:t>verify the cost and insurance coverage, and m</w:t>
      </w:r>
      <w:r w:rsidR="002D2180">
        <w:t xml:space="preserve">ost providers also </w:t>
      </w:r>
      <w:r w:rsidR="006C3758">
        <w:t xml:space="preserve">collect any applicable co-payments from the patient </w:t>
      </w:r>
      <w:r w:rsidR="004A513D">
        <w:t>upon arrival</w:t>
      </w:r>
      <w:r w:rsidR="006C3758">
        <w:t xml:space="preserve">.  </w:t>
      </w:r>
    </w:p>
    <w:p w14:paraId="3D9DB863" w14:textId="5833ED67" w:rsidR="00E46D8E" w:rsidRDefault="00080C64" w:rsidP="00644C9E">
      <w:pPr>
        <w:jc w:val="both"/>
      </w:pPr>
      <w:r>
        <w:t>Many providers accept cash, check or credit card for payment.  I</w:t>
      </w:r>
      <w:r w:rsidR="008C70B5">
        <w:t>f the patient cannot make payment, they ma</w:t>
      </w:r>
      <w:r w:rsidR="001E46ED">
        <w:t>y</w:t>
      </w:r>
      <w:r w:rsidR="008C70B5">
        <w:t xml:space="preserve"> be able to make some type of future payment arrangements or payment plans.  </w:t>
      </w:r>
      <w:r w:rsidR="00B22E17">
        <w:t xml:space="preserve">Taking care of this issue at time of service </w:t>
      </w:r>
      <w:r w:rsidR="001B1CB5">
        <w:t xml:space="preserve">also </w:t>
      </w:r>
      <w:r w:rsidR="00B22E17">
        <w:t>helps avoid non payments in the future.</w:t>
      </w:r>
    </w:p>
    <w:p w14:paraId="4D3D4BD1" w14:textId="628CBA0A" w:rsidR="00625062" w:rsidRDefault="00542704" w:rsidP="00644C9E">
      <w:pPr>
        <w:jc w:val="both"/>
      </w:pPr>
      <w:r>
        <w:t>If this care visit was not scheduled</w:t>
      </w:r>
      <w:r w:rsidR="001E46ED">
        <w:t xml:space="preserve"> (emergency care)</w:t>
      </w:r>
      <w:r>
        <w:t xml:space="preserve">, </w:t>
      </w:r>
      <w:r w:rsidR="00625062">
        <w:t>a call to the payer may be required for both verification of eligibility and authorization of service.</w:t>
      </w:r>
    </w:p>
    <w:p w14:paraId="0E0F500B" w14:textId="36D61055" w:rsidR="00A1199F" w:rsidRDefault="0089271E" w:rsidP="00644C9E">
      <w:pPr>
        <w:jc w:val="both"/>
      </w:pPr>
      <w:r>
        <w:t xml:space="preserve">A final confirmation of payment arrangements or financial counseling may be conducted, again to ensure that the patient is able to pay </w:t>
      </w:r>
      <w:r w:rsidR="003F2757">
        <w:t>whatever portion they are responsible for</w:t>
      </w:r>
      <w:r w:rsidR="00542704">
        <w:t xml:space="preserve"> in a timely manner</w:t>
      </w:r>
      <w:r w:rsidR="003F2757">
        <w:t>.</w:t>
      </w:r>
    </w:p>
    <w:p w14:paraId="240B1C8A" w14:textId="77777777" w:rsidR="00625062" w:rsidRDefault="00625062" w:rsidP="00AF010E">
      <w:pPr>
        <w:pStyle w:val="Heading2"/>
      </w:pPr>
    </w:p>
    <w:p w14:paraId="7A87CAE7" w14:textId="33B0E342" w:rsidR="00EF688A" w:rsidRDefault="00EF688A" w:rsidP="00AF010E">
      <w:pPr>
        <w:pStyle w:val="Heading2"/>
      </w:pPr>
      <w:bookmarkStart w:id="4" w:name="_Toc45293102"/>
      <w:r w:rsidRPr="00F516F8">
        <w:t>Care Integrity</w:t>
      </w:r>
      <w:bookmarkEnd w:id="4"/>
    </w:p>
    <w:p w14:paraId="02B1FCB2" w14:textId="220FEACC" w:rsidR="00F516F8" w:rsidRDefault="00B83E07" w:rsidP="006C23F7">
      <w:pPr>
        <w:jc w:val="both"/>
      </w:pPr>
      <w:r w:rsidRPr="00B83E07">
        <w:rPr>
          <w:noProof/>
        </w:rPr>
        <w:drawing>
          <wp:anchor distT="0" distB="0" distL="114300" distR="114300" simplePos="0" relativeHeight="251660288" behindDoc="0" locked="0" layoutInCell="1" allowOverlap="1" wp14:anchorId="76BD2B48" wp14:editId="55E259AC">
            <wp:simplePos x="0" y="0"/>
            <wp:positionH relativeFrom="column">
              <wp:posOffset>0</wp:posOffset>
            </wp:positionH>
            <wp:positionV relativeFrom="paragraph">
              <wp:posOffset>-1270</wp:posOffset>
            </wp:positionV>
            <wp:extent cx="2233126" cy="2917371"/>
            <wp:effectExtent l="0" t="0" r="0" b="0"/>
            <wp:wrapThrough wrapText="bothSides">
              <wp:wrapPolygon edited="0">
                <wp:start x="0" y="0"/>
                <wp:lineTo x="0" y="21440"/>
                <wp:lineTo x="21379" y="21440"/>
                <wp:lineTo x="21379" y="0"/>
                <wp:lineTo x="0" y="0"/>
              </wp:wrapPolygon>
            </wp:wrapThrough>
            <wp:docPr id="1" name="Picture 2">
              <a:extLst xmlns:a="http://schemas.openxmlformats.org/drawingml/2006/main">
                <a:ext uri="{FF2B5EF4-FFF2-40B4-BE49-F238E27FC236}">
                  <a16:creationId xmlns:a16="http://schemas.microsoft.com/office/drawing/2014/main" id="{EB03B0F8-96AB-485F-B638-CFB398B08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B03B0F8-96AB-485F-B638-CFB398B0812F}"/>
                        </a:ext>
                      </a:extLst>
                    </pic:cNvPr>
                    <pic:cNvPicPr>
                      <a:picLocks noChangeAspect="1"/>
                    </pic:cNvPicPr>
                  </pic:nvPicPr>
                  <pic:blipFill rotWithShape="1">
                    <a:blip r:embed="rId11">
                      <a:extLst>
                        <a:ext uri="{28A0092B-C50C-407E-A947-70E740481C1C}">
                          <a14:useLocalDpi xmlns:a14="http://schemas.microsoft.com/office/drawing/2010/main" val="0"/>
                        </a:ext>
                      </a:extLst>
                    </a:blip>
                    <a:srcRect l="48556" t="39549" r="33524" b="25333"/>
                    <a:stretch/>
                  </pic:blipFill>
                  <pic:spPr>
                    <a:xfrm>
                      <a:off x="0" y="0"/>
                      <a:ext cx="2233126" cy="2917371"/>
                    </a:xfrm>
                    <a:prstGeom prst="rect">
                      <a:avLst/>
                    </a:prstGeom>
                  </pic:spPr>
                </pic:pic>
              </a:graphicData>
            </a:graphic>
            <wp14:sizeRelH relativeFrom="page">
              <wp14:pctWidth>0</wp14:pctWidth>
            </wp14:sizeRelH>
            <wp14:sizeRelV relativeFrom="page">
              <wp14:pctHeight>0</wp14:pctHeight>
            </wp14:sizeRelV>
          </wp:anchor>
        </w:drawing>
      </w:r>
      <w:r>
        <w:t>Care Integrity</w:t>
      </w:r>
      <w:r w:rsidR="00DF577F">
        <w:t xml:space="preserve"> </w:t>
      </w:r>
      <w:r w:rsidR="00F729DF">
        <w:t>encompasses</w:t>
      </w:r>
      <w:r w:rsidR="00DF577F">
        <w:t xml:space="preserve"> all the services and supplies that are provide to the patient</w:t>
      </w:r>
      <w:r w:rsidR="00F43187">
        <w:t xml:space="preserve">.  </w:t>
      </w:r>
      <w:r w:rsidR="00660975">
        <w:t xml:space="preserve">If you consider a typical </w:t>
      </w:r>
      <w:r w:rsidR="00080369">
        <w:t xml:space="preserve">hospital stay or outpatient surgical procedure, a patient may be seen by </w:t>
      </w:r>
      <w:r w:rsidR="0092381A">
        <w:t>several</w:t>
      </w:r>
      <w:r w:rsidR="00080369">
        <w:t xml:space="preserve"> physicians</w:t>
      </w:r>
      <w:r w:rsidR="0092381A">
        <w:t xml:space="preserve">, </w:t>
      </w:r>
      <w:r w:rsidR="00080369">
        <w:t xml:space="preserve">clinical </w:t>
      </w:r>
      <w:r w:rsidR="00651719">
        <w:t>staff,</w:t>
      </w:r>
      <w:r w:rsidR="0092381A">
        <w:t xml:space="preserve"> and nurses</w:t>
      </w:r>
      <w:r w:rsidR="00DC0FCD">
        <w:t xml:space="preserve">, who may utilize various </w:t>
      </w:r>
      <w:r w:rsidR="00DB5C51">
        <w:t xml:space="preserve">supplies and </w:t>
      </w:r>
      <w:r w:rsidR="00D836DB">
        <w:t>instruments</w:t>
      </w:r>
      <w:r w:rsidR="00080369">
        <w:t xml:space="preserve">.  They may </w:t>
      </w:r>
      <w:r w:rsidR="0092381A">
        <w:t>be administered drugs</w:t>
      </w:r>
      <w:r w:rsidR="00B23334">
        <w:t xml:space="preserve"> and</w:t>
      </w:r>
      <w:r w:rsidR="0092381A">
        <w:t xml:space="preserve"> </w:t>
      </w:r>
      <w:r w:rsidR="00B23334">
        <w:t>intravenous fluids</w:t>
      </w:r>
      <w:r w:rsidR="00DF3604">
        <w:t>.  T</w:t>
      </w:r>
      <w:r w:rsidR="00B23334">
        <w:t>he</w:t>
      </w:r>
      <w:r w:rsidR="00156964">
        <w:t xml:space="preserve"> patients</w:t>
      </w:r>
      <w:r w:rsidR="00B23334">
        <w:t xml:space="preserve"> </w:t>
      </w:r>
      <w:r w:rsidR="00DF3604">
        <w:t xml:space="preserve">utilize gowns, beds, </w:t>
      </w:r>
      <w:r w:rsidR="00651719">
        <w:t>sheets,</w:t>
      </w:r>
      <w:r w:rsidR="00DF3604">
        <w:t xml:space="preserve"> and towels.  </w:t>
      </w:r>
      <w:r w:rsidR="00B23334">
        <w:t xml:space="preserve"> </w:t>
      </w:r>
      <w:r w:rsidR="00751C5F">
        <w:t xml:space="preserve">They may require </w:t>
      </w:r>
      <w:r w:rsidR="00A61246">
        <w:t xml:space="preserve">imaging, such as </w:t>
      </w:r>
      <w:r w:rsidR="00751C5F">
        <w:t xml:space="preserve">x-rays, </w:t>
      </w:r>
      <w:r w:rsidR="00651719">
        <w:t>or laboratory</w:t>
      </w:r>
      <w:r w:rsidR="00751C5F">
        <w:t xml:space="preserve"> tests</w:t>
      </w:r>
      <w:r w:rsidR="00AB6605">
        <w:t xml:space="preserve">.  </w:t>
      </w:r>
      <w:r w:rsidR="00644C9E">
        <w:t>T</w:t>
      </w:r>
      <w:r w:rsidR="00AB6605">
        <w:t>hese resources must be documented in the patient’s medical record</w:t>
      </w:r>
      <w:r w:rsidR="00DB5C51">
        <w:t xml:space="preserve">, as well as diagnoses, </w:t>
      </w:r>
      <w:proofErr w:type="gramStart"/>
      <w:r w:rsidR="00C63411">
        <w:t>treatments</w:t>
      </w:r>
      <w:proofErr w:type="gramEnd"/>
      <w:r w:rsidR="00C63411">
        <w:t xml:space="preserve"> and outcomes,</w:t>
      </w:r>
      <w:r w:rsidR="00F17D8C">
        <w:t xml:space="preserve"> </w:t>
      </w:r>
      <w:r w:rsidR="00156964">
        <w:t>to ensure</w:t>
      </w:r>
      <w:r w:rsidR="00F17D8C">
        <w:t xml:space="preserve"> proper “charge capture</w:t>
      </w:r>
      <w:r w:rsidR="00C63411">
        <w:t>.</w:t>
      </w:r>
      <w:r w:rsidR="00F17D8C">
        <w:t xml:space="preserve">” </w:t>
      </w:r>
      <w:r w:rsidR="00C63411">
        <w:t xml:space="preserve"> </w:t>
      </w:r>
      <w:r w:rsidR="00644C9E">
        <w:t>This</w:t>
      </w:r>
      <w:r w:rsidR="00C63411">
        <w:t xml:space="preserve"> information</w:t>
      </w:r>
      <w:r w:rsidR="000962DB">
        <w:t xml:space="preserve"> must be </w:t>
      </w:r>
      <w:r w:rsidR="00C63411">
        <w:t>documented s</w:t>
      </w:r>
      <w:r w:rsidR="000962DB">
        <w:t xml:space="preserve">o </w:t>
      </w:r>
      <w:r w:rsidR="00C63411">
        <w:t>it</w:t>
      </w:r>
      <w:r w:rsidR="000962DB">
        <w:t xml:space="preserve"> can be included in the bill that is sent to the payer and patient.  </w:t>
      </w:r>
    </w:p>
    <w:p w14:paraId="05008D10" w14:textId="77777777" w:rsidR="00986305" w:rsidRDefault="00466EA5" w:rsidP="006C23F7">
      <w:pPr>
        <w:jc w:val="both"/>
      </w:pPr>
      <w:r>
        <w:t>A Health Information Management (HIM) department is responsible for the</w:t>
      </w:r>
      <w:r w:rsidR="00CE1EC9">
        <w:t xml:space="preserve"> collection and processing of this data.  Their staff</w:t>
      </w:r>
      <w:r w:rsidR="00986305">
        <w:t xml:space="preserve"> may include:</w:t>
      </w:r>
    </w:p>
    <w:p w14:paraId="56964651" w14:textId="01B876DE" w:rsidR="00E378EF" w:rsidRDefault="00986305" w:rsidP="006C23F7">
      <w:pPr>
        <w:pStyle w:val="ListParagraph"/>
        <w:numPr>
          <w:ilvl w:val="0"/>
          <w:numId w:val="1"/>
        </w:numPr>
        <w:jc w:val="both"/>
      </w:pPr>
      <w:r>
        <w:t>Medical coders</w:t>
      </w:r>
      <w:r w:rsidR="007D6F07">
        <w:t xml:space="preserve"> </w:t>
      </w:r>
      <w:r w:rsidR="00CF5A17">
        <w:t>–</w:t>
      </w:r>
      <w:r w:rsidR="007D6F07">
        <w:t xml:space="preserve"> </w:t>
      </w:r>
      <w:r w:rsidR="00CF5A17">
        <w:t xml:space="preserve">A coder will review the patient’s medical record and information to determine </w:t>
      </w:r>
      <w:r w:rsidR="009E1143">
        <w:t xml:space="preserve">diagnosis or illness, look for pre-existing conditions or complications, </w:t>
      </w:r>
      <w:proofErr w:type="gramStart"/>
      <w:r w:rsidR="00F55651">
        <w:t>treatment</w:t>
      </w:r>
      <w:r w:rsidR="00960D67">
        <w:t>s</w:t>
      </w:r>
      <w:proofErr w:type="gramEnd"/>
      <w:r w:rsidR="00F55651">
        <w:t xml:space="preserve"> and outcome</w:t>
      </w:r>
      <w:r w:rsidR="00960D67">
        <w:t>s</w:t>
      </w:r>
      <w:r w:rsidR="00F55651">
        <w:t xml:space="preserve">.  Based on this information they can determine the appropriate diagnosis and procedure codes </w:t>
      </w:r>
      <w:r w:rsidR="001267AB">
        <w:t xml:space="preserve">that are ultimately used </w:t>
      </w:r>
      <w:r w:rsidR="005E70E2">
        <w:t xml:space="preserve">for billing.  </w:t>
      </w:r>
    </w:p>
    <w:p w14:paraId="001C8949" w14:textId="75B2BDC1" w:rsidR="00986305" w:rsidRDefault="007A13D7" w:rsidP="006C23F7">
      <w:pPr>
        <w:pStyle w:val="ListParagraph"/>
        <w:numPr>
          <w:ilvl w:val="0"/>
          <w:numId w:val="1"/>
        </w:numPr>
        <w:jc w:val="both"/>
      </w:pPr>
      <w:r>
        <w:lastRenderedPageBreak/>
        <w:t>Coding compliance auditors</w:t>
      </w:r>
      <w:r w:rsidR="00960D67">
        <w:t xml:space="preserve"> – Auditors </w:t>
      </w:r>
      <w:r w:rsidR="003A7819">
        <w:t>review the clinical documents, physician documentation, coding records</w:t>
      </w:r>
      <w:r w:rsidR="00F27B7A">
        <w:t xml:space="preserve"> and other data, looking for any issues o</w:t>
      </w:r>
      <w:r w:rsidR="001822C3">
        <w:t>r</w:t>
      </w:r>
      <w:r w:rsidR="00F27B7A">
        <w:t xml:space="preserve"> coding </w:t>
      </w:r>
      <w:r w:rsidR="001822C3">
        <w:t xml:space="preserve">mistakes </w:t>
      </w:r>
      <w:r w:rsidR="00F27B7A">
        <w:t xml:space="preserve">based on the data they review.  </w:t>
      </w:r>
      <w:r w:rsidR="00F85F33">
        <w:t xml:space="preserve">A coding compliance program is an essential part of </w:t>
      </w:r>
      <w:r w:rsidR="00DD418C">
        <w:t xml:space="preserve">health information management, as it can ensure </w:t>
      </w:r>
      <w:r w:rsidR="00291F0E">
        <w:t>consistency</w:t>
      </w:r>
      <w:r w:rsidR="0004615B">
        <w:t xml:space="preserve"> </w:t>
      </w:r>
      <w:r w:rsidR="00291F0E">
        <w:t>and decrease risk of fraud and lost revenues.</w:t>
      </w:r>
      <w:r w:rsidR="0084576F">
        <w:t xml:space="preserve">  Frequent coding audits are </w:t>
      </w:r>
      <w:r w:rsidR="00E71E39">
        <w:t xml:space="preserve">essential, and best practices include </w:t>
      </w:r>
      <w:r w:rsidR="008A185C">
        <w:t xml:space="preserve">a review of </w:t>
      </w:r>
      <w:r w:rsidR="00E71E39">
        <w:t>3.5 to 5 percent of total cas</w:t>
      </w:r>
      <w:r w:rsidR="008A185C">
        <w:t>es each week.</w:t>
      </w:r>
    </w:p>
    <w:p w14:paraId="1687485C" w14:textId="0E08EF3E" w:rsidR="007A13D7" w:rsidRDefault="007A13D7" w:rsidP="006C23F7">
      <w:pPr>
        <w:pStyle w:val="ListParagraph"/>
        <w:numPr>
          <w:ilvl w:val="0"/>
          <w:numId w:val="1"/>
        </w:numPr>
        <w:jc w:val="both"/>
      </w:pPr>
      <w:r>
        <w:t xml:space="preserve">Clinical </w:t>
      </w:r>
      <w:r w:rsidR="003A0E7D">
        <w:t>d</w:t>
      </w:r>
      <w:r>
        <w:t>ocumentation specialists</w:t>
      </w:r>
      <w:r w:rsidR="005B504B">
        <w:t xml:space="preserve"> – Maintaining charts, medical records and reports </w:t>
      </w:r>
      <w:r w:rsidR="00A769A8">
        <w:t>are key responsibilities of the specialists</w:t>
      </w:r>
      <w:r w:rsidR="00422B03">
        <w:t xml:space="preserve">; </w:t>
      </w:r>
      <w:r w:rsidR="00A769A8">
        <w:t xml:space="preserve">they proactively identify and correct any issues in the documentation.  </w:t>
      </w:r>
      <w:r w:rsidR="00FC1E9C">
        <w:t xml:space="preserve">They will also work with clinicians when errors are identified and provide support and </w:t>
      </w:r>
      <w:r w:rsidR="00E86FD0">
        <w:t>training,</w:t>
      </w:r>
      <w:r w:rsidR="00FC1E9C">
        <w:t xml:space="preserve"> so they do not occur in the future.  </w:t>
      </w:r>
      <w:r w:rsidR="00A769A8">
        <w:t xml:space="preserve">These reviews </w:t>
      </w:r>
      <w:r w:rsidR="00E4662D">
        <w:t>support the coders when they review the documents to ensure the proper codes are being used.</w:t>
      </w:r>
    </w:p>
    <w:p w14:paraId="6EB3CA2E" w14:textId="4A08E71E" w:rsidR="007A13D7" w:rsidRDefault="00E4662D" w:rsidP="006C23F7">
      <w:pPr>
        <w:ind w:left="45"/>
        <w:jc w:val="both"/>
      </w:pPr>
      <w:r>
        <w:t xml:space="preserve">Similarly, a physician practice must also document the </w:t>
      </w:r>
      <w:r w:rsidR="00F56936">
        <w:t xml:space="preserve">health, </w:t>
      </w:r>
      <w:proofErr w:type="gramStart"/>
      <w:r w:rsidR="00F56936">
        <w:t>diagnosis</w:t>
      </w:r>
      <w:proofErr w:type="gramEnd"/>
      <w:r w:rsidR="00F56936">
        <w:t xml:space="preserve"> and treatment for any patients they see in their offices.  The information is coded by their internal billing/HIM teams and sent to payers for payment.</w:t>
      </w:r>
    </w:p>
    <w:p w14:paraId="296A7BFE" w14:textId="20F6A789" w:rsidR="00EF688A" w:rsidRPr="006F3504" w:rsidRDefault="00EF688A" w:rsidP="00AF010E">
      <w:pPr>
        <w:pStyle w:val="Heading2"/>
      </w:pPr>
      <w:bookmarkStart w:id="5" w:name="_Toc45293103"/>
      <w:r w:rsidRPr="006F3504">
        <w:t>Post Service Care &amp; Revenue Recovery</w:t>
      </w:r>
      <w:bookmarkEnd w:id="5"/>
    </w:p>
    <w:p w14:paraId="02596A8A" w14:textId="67E72963" w:rsidR="00EF688A" w:rsidRDefault="003A0484" w:rsidP="006C23F7">
      <w:pPr>
        <w:jc w:val="both"/>
      </w:pPr>
      <w:r w:rsidRPr="003A0484">
        <w:rPr>
          <w:noProof/>
        </w:rPr>
        <w:drawing>
          <wp:anchor distT="0" distB="0" distL="114300" distR="114300" simplePos="0" relativeHeight="251661312" behindDoc="1" locked="0" layoutInCell="1" allowOverlap="1" wp14:anchorId="05F0A9D8" wp14:editId="2B44BFF3">
            <wp:simplePos x="0" y="0"/>
            <wp:positionH relativeFrom="margin">
              <wp:posOffset>3976370</wp:posOffset>
            </wp:positionH>
            <wp:positionV relativeFrom="paragraph">
              <wp:posOffset>15240</wp:posOffset>
            </wp:positionV>
            <wp:extent cx="2253600" cy="2873830"/>
            <wp:effectExtent l="0" t="0" r="0" b="3175"/>
            <wp:wrapTight wrapText="bothSides">
              <wp:wrapPolygon edited="0">
                <wp:start x="0" y="0"/>
                <wp:lineTo x="0" y="21481"/>
                <wp:lineTo x="21369" y="21481"/>
                <wp:lineTo x="21369" y="0"/>
                <wp:lineTo x="0" y="0"/>
              </wp:wrapPolygon>
            </wp:wrapTight>
            <wp:docPr id="5" name="Picture 4">
              <a:extLst xmlns:a="http://schemas.openxmlformats.org/drawingml/2006/main">
                <a:ext uri="{FF2B5EF4-FFF2-40B4-BE49-F238E27FC236}">
                  <a16:creationId xmlns:a16="http://schemas.microsoft.com/office/drawing/2014/main" id="{4E23586B-1E5C-4645-A26D-AACACCCCC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E23586B-1E5C-4645-A26D-AACACCCCC8BB}"/>
                        </a:ext>
                      </a:extLst>
                    </pic:cNvPr>
                    <pic:cNvPicPr>
                      <a:picLocks noChangeAspect="1"/>
                    </pic:cNvPicPr>
                  </pic:nvPicPr>
                  <pic:blipFill rotWithShape="1">
                    <a:blip r:embed="rId11">
                      <a:extLst>
                        <a:ext uri="{28A0092B-C50C-407E-A947-70E740481C1C}">
                          <a14:useLocalDpi xmlns:a14="http://schemas.microsoft.com/office/drawing/2010/main" val="0"/>
                        </a:ext>
                      </a:extLst>
                    </a:blip>
                    <a:srcRect l="65877" t="39474" r="16038" b="25933"/>
                    <a:stretch/>
                  </pic:blipFill>
                  <pic:spPr>
                    <a:xfrm>
                      <a:off x="0" y="0"/>
                      <a:ext cx="2253600" cy="2873830"/>
                    </a:xfrm>
                    <a:prstGeom prst="rect">
                      <a:avLst/>
                    </a:prstGeom>
                  </pic:spPr>
                </pic:pic>
              </a:graphicData>
            </a:graphic>
            <wp14:sizeRelH relativeFrom="page">
              <wp14:pctWidth>0</wp14:pctWidth>
            </wp14:sizeRelH>
            <wp14:sizeRelV relativeFrom="page">
              <wp14:pctHeight>0</wp14:pctHeight>
            </wp14:sizeRelV>
          </wp:anchor>
        </w:drawing>
      </w:r>
      <w:r w:rsidR="00644C9E">
        <w:t xml:space="preserve">Once the </w:t>
      </w:r>
      <w:r w:rsidR="00ED795C">
        <w:t xml:space="preserve">care has been completed and the patient leaves the facility (hospital discharge, outpatient discharge or just leaving the doctor’s office), </w:t>
      </w:r>
      <w:r w:rsidR="006C23F7">
        <w:t xml:space="preserve">a bill must be generated and sent to the payer so the provider can collect payment.  </w:t>
      </w:r>
      <w:r w:rsidR="005F4BC7">
        <w:t xml:space="preserve">The first hurdle is to ensure that the documentation is </w:t>
      </w:r>
      <w:r w:rsidR="00931D13">
        <w:t>complete,</w:t>
      </w:r>
      <w:r w:rsidR="005F4BC7">
        <w:t xml:space="preserve"> and </w:t>
      </w:r>
      <w:r w:rsidR="00931D13">
        <w:t xml:space="preserve">the billing </w:t>
      </w:r>
      <w:r w:rsidR="005F4BC7">
        <w:t>can be issued.  There may be delays if the record or documentation is not complete (</w:t>
      </w:r>
      <w:r w:rsidR="00931D13">
        <w:t xml:space="preserve">a status known as </w:t>
      </w:r>
      <w:r w:rsidR="005F4BC7">
        <w:t>“discharged but not final billed</w:t>
      </w:r>
      <w:r w:rsidR="00931D13">
        <w:t>,</w:t>
      </w:r>
      <w:r w:rsidR="005F4BC7">
        <w:t>” or “D</w:t>
      </w:r>
      <w:r w:rsidR="00DB4799">
        <w:t>NFB”) so the HIM department makes every effort to ensure completeness as close to discharge as possible.</w:t>
      </w:r>
    </w:p>
    <w:p w14:paraId="1E4A5E6F" w14:textId="11524A9D" w:rsidR="00883D4B" w:rsidRDefault="00BD4020" w:rsidP="006C23F7">
      <w:pPr>
        <w:jc w:val="both"/>
      </w:pPr>
      <w:r>
        <w:t xml:space="preserve">The billing information </w:t>
      </w:r>
      <w:r w:rsidR="00B5450E">
        <w:t xml:space="preserve">required by payers </w:t>
      </w:r>
      <w:r>
        <w:t>is entered on a UB04 form</w:t>
      </w:r>
      <w:r w:rsidR="006F3413">
        <w:t xml:space="preserve">; there is a version for inpatient billing as well as outpatient as there are minor differences in the information and coding.  (See Figures </w:t>
      </w:r>
      <w:r w:rsidR="00BB22AF">
        <w:t>3</w:t>
      </w:r>
      <w:r w:rsidR="006F3413">
        <w:t xml:space="preserve"> and </w:t>
      </w:r>
      <w:r w:rsidR="00BB22AF">
        <w:t>4</w:t>
      </w:r>
      <w:r w:rsidR="006F3413">
        <w:t xml:space="preserve">.)  </w:t>
      </w:r>
      <w:r w:rsidR="001D2A59">
        <w:t xml:space="preserve">Before the </w:t>
      </w:r>
      <w:r w:rsidR="00883D4B">
        <w:t xml:space="preserve">move to electronic medical records, much of this processing was done on paper (forms printed and mailed for payment).  </w:t>
      </w:r>
      <w:r w:rsidR="00512407">
        <w:t xml:space="preserve">Today </w:t>
      </w:r>
      <w:r w:rsidR="00F44C4A">
        <w:t>the information is transmitted electronically</w:t>
      </w:r>
      <w:r w:rsidR="00861463">
        <w:t>.</w:t>
      </w:r>
    </w:p>
    <w:p w14:paraId="5C466C55" w14:textId="37FD2662" w:rsidR="00DB4799" w:rsidRDefault="001C493F" w:rsidP="006C23F7">
      <w:pPr>
        <w:jc w:val="both"/>
      </w:pPr>
      <w:r>
        <w:t>P</w:t>
      </w:r>
      <w:r w:rsidR="00DE5825">
        <w:t xml:space="preserve">roviders will have negotiated contracts with </w:t>
      </w:r>
      <w:r w:rsidR="00203E1F">
        <w:t>some payers</w:t>
      </w:r>
      <w:r w:rsidR="00C45100">
        <w:t xml:space="preserve">; </w:t>
      </w:r>
      <w:r w:rsidR="00B57256">
        <w:t>typically,</w:t>
      </w:r>
      <w:r w:rsidR="00AF38BD">
        <w:t xml:space="preserve"> these contracts provide some benefit to the payer and their members, such as pricing discounts.  </w:t>
      </w:r>
      <w:r w:rsidR="006929B6">
        <w:t xml:space="preserve">There may also be other quality- or results-based </w:t>
      </w:r>
      <w:r w:rsidR="004A52CA">
        <w:t>measures and programs that provide incentive payments to the provider.</w:t>
      </w:r>
    </w:p>
    <w:p w14:paraId="03A2BA01" w14:textId="77777777" w:rsidR="00A73557" w:rsidRDefault="004D3064" w:rsidP="00A73557">
      <w:pPr>
        <w:jc w:val="both"/>
      </w:pPr>
      <w:r>
        <w:t>Some providers utilize a clearinghouse</w:t>
      </w:r>
      <w:r w:rsidR="00083F3C">
        <w:t xml:space="preserve"> to submit claims to a payer. </w:t>
      </w:r>
      <w:r>
        <w:t xml:space="preserve"> </w:t>
      </w:r>
      <w:r w:rsidR="00214E4B">
        <w:t xml:space="preserve">A </w:t>
      </w:r>
      <w:r w:rsidR="002D0593">
        <w:t xml:space="preserve">medical claims clearinghouse acts as a middleman between the provider and the payer, </w:t>
      </w:r>
      <w:r w:rsidR="00E52F8E">
        <w:t>checking the claim for errors and then transmitt</w:t>
      </w:r>
      <w:r w:rsidR="00FF4C66">
        <w:t>ing</w:t>
      </w:r>
      <w:r w:rsidR="00E52F8E">
        <w:t xml:space="preserve"> </w:t>
      </w:r>
      <w:r w:rsidR="00B57256">
        <w:t xml:space="preserve">the claim </w:t>
      </w:r>
      <w:r w:rsidR="00E52F8E">
        <w:t>to the payer</w:t>
      </w:r>
      <w:r w:rsidR="00FF4C66">
        <w:t xml:space="preserve">.  </w:t>
      </w:r>
      <w:r w:rsidR="00FE66C1">
        <w:t xml:space="preserve">Once the </w:t>
      </w:r>
      <w:r w:rsidR="00FF4C66">
        <w:t>claim</w:t>
      </w:r>
      <w:r w:rsidR="00FE66C1">
        <w:t xml:space="preserve"> is received by the payer</w:t>
      </w:r>
      <w:r w:rsidR="00FF4C66">
        <w:t>,</w:t>
      </w:r>
      <w:r w:rsidR="00FE66C1">
        <w:t xml:space="preserve"> it is </w:t>
      </w:r>
      <w:r w:rsidR="00FF4C66">
        <w:t xml:space="preserve">again </w:t>
      </w:r>
      <w:r w:rsidR="00FE66C1">
        <w:t xml:space="preserve">reviewed to ensure adherence to the contract terms.  </w:t>
      </w:r>
      <w:r w:rsidR="00EF7CFB">
        <w:t xml:space="preserve">If the </w:t>
      </w:r>
      <w:r w:rsidR="00F41C61">
        <w:t>information is correct, the payer will issue payment to the provider</w:t>
      </w:r>
      <w:r w:rsidR="005423E7">
        <w:t xml:space="preserve"> for the supplies and services.  </w:t>
      </w:r>
      <w:r w:rsidR="00FF4C66">
        <w:t xml:space="preserve"> </w:t>
      </w:r>
    </w:p>
    <w:p w14:paraId="28B17BB9" w14:textId="6AEC7F30" w:rsidR="00A73557" w:rsidRDefault="00A73557" w:rsidP="00A73557">
      <w:pPr>
        <w:jc w:val="both"/>
      </w:pPr>
      <w:r>
        <w:t>In some cases, the information received by the payer is incorrect</w:t>
      </w:r>
      <w:r w:rsidR="007A7C60">
        <w:t xml:space="preserve"> or has errors</w:t>
      </w:r>
      <w:r>
        <w:t xml:space="preserve">; in that case the payer may choose to deny the claim or pay a different (often lesser) amount than was billed.  Denials and underpayment management is a serious and time-consuming function for these finance departments, which is why there is so much effort and focus on the front-end coding and review (prior to billing).  </w:t>
      </w:r>
      <w:r w:rsidR="007A7C60">
        <w:t xml:space="preserve">(See </w:t>
      </w:r>
      <w:r w:rsidR="007A7C60">
        <w:lastRenderedPageBreak/>
        <w:t>“Denials” section for more information</w:t>
      </w:r>
      <w:r w:rsidR="001F4E0A">
        <w:t>.</w:t>
      </w:r>
      <w:r w:rsidR="007A7C60">
        <w:t>)</w:t>
      </w:r>
      <w:r w:rsidR="002E7264">
        <w:t xml:space="preserve">  It is </w:t>
      </w:r>
      <w:r w:rsidR="00024C24">
        <w:t xml:space="preserve">one of the most resource intensive processes within a healthcare provider’s operations, and </w:t>
      </w:r>
      <w:r w:rsidR="00813A81">
        <w:t>a focus for process improvement in most organizations</w:t>
      </w:r>
      <w:r w:rsidR="00C246B6">
        <w:t xml:space="preserve">, as seen in Figure </w:t>
      </w:r>
      <w:r w:rsidR="00BB22AF">
        <w:t>2</w:t>
      </w:r>
      <w:r w:rsidR="00813A81">
        <w:t xml:space="preserve">.  </w:t>
      </w:r>
      <w:r w:rsidR="00813A81">
        <w:rPr>
          <w:rStyle w:val="FootnoteReference"/>
        </w:rPr>
        <w:footnoteReference w:id="2"/>
      </w:r>
    </w:p>
    <w:p w14:paraId="3FC0238A" w14:textId="49202D10" w:rsidR="00B631D8" w:rsidRDefault="00B631D8" w:rsidP="00A73557">
      <w:pPr>
        <w:jc w:val="both"/>
      </w:pPr>
    </w:p>
    <w:p w14:paraId="73FD1E26" w14:textId="740611FB" w:rsidR="00B631D8" w:rsidRDefault="00B631D8" w:rsidP="00B631D8">
      <w:pPr>
        <w:jc w:val="center"/>
      </w:pPr>
      <w:r w:rsidRPr="00B631D8">
        <w:rPr>
          <w:noProof/>
        </w:rPr>
        <w:drawing>
          <wp:anchor distT="0" distB="0" distL="114300" distR="114300" simplePos="0" relativeHeight="251676672" behindDoc="0" locked="0" layoutInCell="1" allowOverlap="1" wp14:anchorId="33B0A138" wp14:editId="731033F5">
            <wp:simplePos x="0" y="0"/>
            <wp:positionH relativeFrom="column">
              <wp:posOffset>485775</wp:posOffset>
            </wp:positionH>
            <wp:positionV relativeFrom="paragraph">
              <wp:posOffset>3810</wp:posOffset>
            </wp:positionV>
            <wp:extent cx="4977420" cy="2803852"/>
            <wp:effectExtent l="0" t="0" r="0" b="0"/>
            <wp:wrapSquare wrapText="bothSides"/>
            <wp:docPr id="15" name="Picture 2">
              <a:extLst xmlns:a="http://schemas.openxmlformats.org/drawingml/2006/main">
                <a:ext uri="{FF2B5EF4-FFF2-40B4-BE49-F238E27FC236}">
                  <a16:creationId xmlns:a16="http://schemas.microsoft.com/office/drawing/2014/main" id="{80DF3E87-0256-45F2-BB6D-D38C7ECB9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0DF3E87-0256-45F2-BB6D-D38C7ECB9AF7}"/>
                        </a:ext>
                      </a:extLst>
                    </pic:cNvPr>
                    <pic:cNvPicPr>
                      <a:picLocks noChangeAspect="1"/>
                    </pic:cNvPicPr>
                  </pic:nvPicPr>
                  <pic:blipFill rotWithShape="1">
                    <a:blip r:embed="rId12">
                      <a:extLst>
                        <a:ext uri="{28A0092B-C50C-407E-A947-70E740481C1C}">
                          <a14:useLocalDpi xmlns:a14="http://schemas.microsoft.com/office/drawing/2010/main" val="0"/>
                        </a:ext>
                      </a:extLst>
                    </a:blip>
                    <a:srcRect t="8117"/>
                    <a:stretch/>
                  </pic:blipFill>
                  <pic:spPr>
                    <a:xfrm>
                      <a:off x="0" y="0"/>
                      <a:ext cx="4977420" cy="2803852"/>
                    </a:xfrm>
                    <a:prstGeom prst="rect">
                      <a:avLst/>
                    </a:prstGeom>
                  </pic:spPr>
                </pic:pic>
              </a:graphicData>
            </a:graphic>
          </wp:anchor>
        </w:drawing>
      </w:r>
    </w:p>
    <w:p w14:paraId="2536951B" w14:textId="77777777" w:rsidR="00C246B6" w:rsidRDefault="00C246B6" w:rsidP="006C23F7">
      <w:pPr>
        <w:jc w:val="both"/>
      </w:pPr>
    </w:p>
    <w:p w14:paraId="1C20D9A9" w14:textId="77777777" w:rsidR="00C246B6" w:rsidRDefault="00C246B6" w:rsidP="006C23F7">
      <w:pPr>
        <w:jc w:val="both"/>
      </w:pPr>
    </w:p>
    <w:p w14:paraId="366E3748" w14:textId="77777777" w:rsidR="00C246B6" w:rsidRDefault="00C246B6" w:rsidP="006C23F7">
      <w:pPr>
        <w:jc w:val="both"/>
      </w:pPr>
    </w:p>
    <w:p w14:paraId="189E1422" w14:textId="77777777" w:rsidR="00C246B6" w:rsidRDefault="00C246B6" w:rsidP="006C23F7">
      <w:pPr>
        <w:jc w:val="both"/>
      </w:pPr>
    </w:p>
    <w:p w14:paraId="08A17576" w14:textId="77777777" w:rsidR="00C246B6" w:rsidRDefault="00C246B6" w:rsidP="006C23F7">
      <w:pPr>
        <w:jc w:val="both"/>
      </w:pPr>
    </w:p>
    <w:p w14:paraId="3B79A84A" w14:textId="77777777" w:rsidR="00C246B6" w:rsidRDefault="00C246B6" w:rsidP="006C23F7">
      <w:pPr>
        <w:jc w:val="both"/>
      </w:pPr>
    </w:p>
    <w:p w14:paraId="5BF383C8" w14:textId="77777777" w:rsidR="00C246B6" w:rsidRDefault="00C246B6" w:rsidP="006C23F7">
      <w:pPr>
        <w:jc w:val="both"/>
      </w:pPr>
    </w:p>
    <w:p w14:paraId="10046DCC" w14:textId="14F4E927" w:rsidR="00C246B6" w:rsidRDefault="00C246B6" w:rsidP="006C23F7">
      <w:pPr>
        <w:jc w:val="both"/>
      </w:pPr>
    </w:p>
    <w:p w14:paraId="12A13FEF" w14:textId="4F1E613B" w:rsidR="00C246B6" w:rsidRDefault="00C246B6" w:rsidP="006C23F7">
      <w:pPr>
        <w:jc w:val="both"/>
      </w:pPr>
    </w:p>
    <w:p w14:paraId="5B84F11E" w14:textId="57AF5811" w:rsidR="00C246B6" w:rsidRPr="00C246B6" w:rsidRDefault="00C246B6" w:rsidP="006C23F7">
      <w:pPr>
        <w:jc w:val="both"/>
        <w:rPr>
          <w:b/>
          <w:bCs/>
          <w:i/>
          <w:iCs/>
          <w:sz w:val="20"/>
          <w:szCs w:val="20"/>
        </w:rPr>
      </w:pPr>
      <w:r w:rsidRPr="00C246B6">
        <w:rPr>
          <w:b/>
          <w:bCs/>
          <w:i/>
          <w:iCs/>
          <w:sz w:val="20"/>
          <w:szCs w:val="20"/>
        </w:rPr>
        <w:t xml:space="preserve">Figure </w:t>
      </w:r>
      <w:r w:rsidR="00BB22AF">
        <w:rPr>
          <w:b/>
          <w:bCs/>
          <w:i/>
          <w:iCs/>
          <w:sz w:val="20"/>
          <w:szCs w:val="20"/>
        </w:rPr>
        <w:t>2 -</w:t>
      </w:r>
      <w:r w:rsidRPr="00C246B6">
        <w:rPr>
          <w:b/>
          <w:bCs/>
          <w:i/>
          <w:iCs/>
          <w:sz w:val="20"/>
          <w:szCs w:val="20"/>
        </w:rPr>
        <w:t xml:space="preserve"> Healthcare’s Wasted Dollars (billions)</w:t>
      </w:r>
      <w:r w:rsidRPr="00C246B6">
        <w:rPr>
          <w:b/>
          <w:bCs/>
          <w:i/>
          <w:iCs/>
          <w:sz w:val="20"/>
          <w:szCs w:val="20"/>
          <w:vertAlign w:val="superscript"/>
        </w:rPr>
        <w:t>2</w:t>
      </w:r>
    </w:p>
    <w:p w14:paraId="57CB07AE" w14:textId="22F27AAD" w:rsidR="00C246B6" w:rsidRDefault="00C246B6" w:rsidP="006C23F7">
      <w:pPr>
        <w:jc w:val="both"/>
      </w:pPr>
    </w:p>
    <w:p w14:paraId="52F53A37" w14:textId="75623C03" w:rsidR="005423E7" w:rsidRDefault="00947CCA" w:rsidP="006C23F7">
      <w:pPr>
        <w:jc w:val="both"/>
      </w:pPr>
      <w:r>
        <w:t xml:space="preserve">Managing the billing and revenue collection is a function of </w:t>
      </w:r>
      <w:r w:rsidR="00BB22AF">
        <w:t>a</w:t>
      </w:r>
      <w:r>
        <w:t xml:space="preserve"> provider’s Finance Department.  </w:t>
      </w:r>
      <w:r w:rsidR="00100681">
        <w:t>As in any financial operation, cash is collected and posted to appropriate accounts</w:t>
      </w:r>
      <w:r w:rsidR="004B5922">
        <w:t>, and monitored and reported</w:t>
      </w:r>
      <w:r w:rsidR="001F4E0A">
        <w:t xml:space="preserve">. </w:t>
      </w:r>
      <w:r w:rsidR="004B5922">
        <w:t xml:space="preserve"> (</w:t>
      </w:r>
      <w:r w:rsidR="001F4E0A">
        <w:t>S</w:t>
      </w:r>
      <w:r w:rsidR="004B5922">
        <w:t xml:space="preserve">ee </w:t>
      </w:r>
      <w:r w:rsidR="00C375AA">
        <w:t>“Payment Processing” s</w:t>
      </w:r>
      <w:r w:rsidR="004B5922">
        <w:t>ection</w:t>
      </w:r>
      <w:r w:rsidR="001F4E0A">
        <w:t>.</w:t>
      </w:r>
      <w:r w:rsidR="00C375AA">
        <w:t>)</w:t>
      </w:r>
      <w:r w:rsidR="004B5922">
        <w:t xml:space="preserve"> </w:t>
      </w:r>
    </w:p>
    <w:p w14:paraId="102910C2" w14:textId="20F0DA23" w:rsidR="00D16186" w:rsidRDefault="00B06262" w:rsidP="006C23F7">
      <w:pPr>
        <w:jc w:val="both"/>
      </w:pPr>
      <w:r>
        <w:t>P</w:t>
      </w:r>
      <w:r w:rsidR="002239DD">
        <w:t xml:space="preserve">atients that are not covered by any type of </w:t>
      </w:r>
      <w:r w:rsidR="006178A6">
        <w:t>medical insurance or by government (Medicare or Medicaid) sponsored programs</w:t>
      </w:r>
      <w:r>
        <w:t xml:space="preserve"> are classified as self-pay.  </w:t>
      </w:r>
      <w:r w:rsidR="008C6A5E">
        <w:t xml:space="preserve">In this case the bill is sent directly to the patient (not a payer).  </w:t>
      </w:r>
      <w:r w:rsidR="00335FC3">
        <w:t xml:space="preserve">Some patients </w:t>
      </w:r>
      <w:r w:rsidR="00F35E9D">
        <w:t>can</w:t>
      </w:r>
      <w:r w:rsidR="00335FC3">
        <w:t xml:space="preserve"> manage and pay these bills, but </w:t>
      </w:r>
      <w:r w:rsidR="00F35E9D">
        <w:t>many cannot</w:t>
      </w:r>
      <w:r w:rsidR="006F0289">
        <w:t xml:space="preserve">, and </w:t>
      </w:r>
      <w:r w:rsidR="00F35E9D">
        <w:t xml:space="preserve">they </w:t>
      </w:r>
      <w:r w:rsidR="006F0289">
        <w:t>become part of charity or indigent care programs.  Providers (primarily hospitals) find themselves in a difficult bind with these patients</w:t>
      </w:r>
      <w:r w:rsidR="008C6A5E">
        <w:t>;</w:t>
      </w:r>
      <w:r w:rsidR="002F3B06">
        <w:t xml:space="preserve"> </w:t>
      </w:r>
      <w:r w:rsidR="006F0289">
        <w:t xml:space="preserve"> they cannot </w:t>
      </w:r>
      <w:r w:rsidR="000F519C">
        <w:t>turn them away when they arrive</w:t>
      </w:r>
      <w:r w:rsidR="008C6A5E">
        <w:t xml:space="preserve"> to receive care</w:t>
      </w:r>
      <w:r w:rsidR="000F519C">
        <w:t xml:space="preserve"> (typically in the Emergency Room) </w:t>
      </w:r>
      <w:r w:rsidR="002F3B06">
        <w:t>and they</w:t>
      </w:r>
      <w:r w:rsidR="000F519C">
        <w:t xml:space="preserve"> know they most likely will not be paid.  Many providers set</w:t>
      </w:r>
      <w:r w:rsidR="0083119C">
        <w:t xml:space="preserve"> aside funding in their budgets to cover (and </w:t>
      </w:r>
      <w:r w:rsidR="00F35E9D">
        <w:t xml:space="preserve">typically </w:t>
      </w:r>
      <w:r w:rsidR="0083119C">
        <w:t xml:space="preserve">write off) these </w:t>
      </w:r>
      <w:r w:rsidR="00F0481E">
        <w:t>charges</w:t>
      </w:r>
      <w:r w:rsidR="00A04664">
        <w:t>,</w:t>
      </w:r>
      <w:r w:rsidR="00F0481E">
        <w:t xml:space="preserve"> and</w:t>
      </w:r>
      <w:r w:rsidR="0083119C">
        <w:t xml:space="preserve"> hope that what they collect from private insurers will help make up these shortfalls.</w:t>
      </w:r>
    </w:p>
    <w:p w14:paraId="74FF93C7" w14:textId="7A0BE585" w:rsidR="002B29E6" w:rsidRDefault="002B29E6" w:rsidP="006C23F7">
      <w:pPr>
        <w:jc w:val="both"/>
      </w:pPr>
      <w:r w:rsidRPr="00BB4C00">
        <w:rPr>
          <w:noProof/>
        </w:rPr>
        <w:lastRenderedPageBreak/>
        <w:drawing>
          <wp:inline distT="0" distB="0" distL="0" distR="0" wp14:anchorId="479F31CB" wp14:editId="7AD0E8BC">
            <wp:extent cx="5625586" cy="7058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6124" cy="7083793"/>
                    </a:xfrm>
                    <a:prstGeom prst="rect">
                      <a:avLst/>
                    </a:prstGeom>
                    <a:noFill/>
                    <a:ln>
                      <a:noFill/>
                    </a:ln>
                  </pic:spPr>
                </pic:pic>
              </a:graphicData>
            </a:graphic>
          </wp:inline>
        </w:drawing>
      </w:r>
    </w:p>
    <w:p w14:paraId="103949EE" w14:textId="66F1FB88" w:rsidR="002B29E6" w:rsidRPr="00A04664" w:rsidRDefault="002B29E6" w:rsidP="002B29E6">
      <w:pPr>
        <w:rPr>
          <w:b/>
          <w:bCs/>
          <w:i/>
          <w:iCs/>
          <w:sz w:val="20"/>
          <w:szCs w:val="20"/>
        </w:rPr>
      </w:pPr>
      <w:r w:rsidRPr="00A04664">
        <w:rPr>
          <w:b/>
          <w:bCs/>
          <w:i/>
          <w:iCs/>
          <w:sz w:val="20"/>
          <w:szCs w:val="20"/>
        </w:rPr>
        <w:t xml:space="preserve">Figure </w:t>
      </w:r>
      <w:r w:rsidR="00A04664" w:rsidRPr="00A04664">
        <w:rPr>
          <w:b/>
          <w:bCs/>
          <w:i/>
          <w:iCs/>
          <w:sz w:val="20"/>
          <w:szCs w:val="20"/>
        </w:rPr>
        <w:t>3</w:t>
      </w:r>
      <w:r w:rsidRPr="00A04664">
        <w:rPr>
          <w:b/>
          <w:bCs/>
          <w:i/>
          <w:iCs/>
          <w:sz w:val="20"/>
          <w:szCs w:val="20"/>
        </w:rPr>
        <w:t xml:space="preserve"> – Inpatient UB04 Form</w:t>
      </w:r>
    </w:p>
    <w:p w14:paraId="3571073E" w14:textId="5B2CB509" w:rsidR="002B29E6" w:rsidRDefault="002B29E6" w:rsidP="006C23F7">
      <w:pPr>
        <w:jc w:val="both"/>
      </w:pPr>
      <w:r w:rsidRPr="00EF7CFB">
        <w:rPr>
          <w:b/>
          <w:bCs/>
          <w:noProof/>
        </w:rPr>
        <w:lastRenderedPageBreak/>
        <w:drawing>
          <wp:inline distT="0" distB="0" distL="0" distR="0" wp14:anchorId="185AB03B" wp14:editId="1A8CA6FC">
            <wp:extent cx="5676900" cy="73418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9571" cy="7345343"/>
                    </a:xfrm>
                    <a:prstGeom prst="rect">
                      <a:avLst/>
                    </a:prstGeom>
                    <a:noFill/>
                    <a:ln>
                      <a:noFill/>
                    </a:ln>
                  </pic:spPr>
                </pic:pic>
              </a:graphicData>
            </a:graphic>
          </wp:inline>
        </w:drawing>
      </w:r>
    </w:p>
    <w:p w14:paraId="5A019542" w14:textId="39973A4E" w:rsidR="002B29E6" w:rsidRPr="00A04664" w:rsidRDefault="002B29E6" w:rsidP="002B29E6">
      <w:pPr>
        <w:rPr>
          <w:b/>
          <w:bCs/>
          <w:i/>
          <w:iCs/>
          <w:sz w:val="20"/>
          <w:szCs w:val="20"/>
        </w:rPr>
      </w:pPr>
      <w:r w:rsidRPr="00A04664">
        <w:rPr>
          <w:b/>
          <w:bCs/>
          <w:i/>
          <w:iCs/>
          <w:sz w:val="20"/>
          <w:szCs w:val="20"/>
        </w:rPr>
        <w:t xml:space="preserve">Figure </w:t>
      </w:r>
      <w:r w:rsidR="00A04664" w:rsidRPr="00A04664">
        <w:rPr>
          <w:b/>
          <w:bCs/>
          <w:i/>
          <w:iCs/>
          <w:sz w:val="20"/>
          <w:szCs w:val="20"/>
        </w:rPr>
        <w:t>4</w:t>
      </w:r>
      <w:r w:rsidRPr="00A04664">
        <w:rPr>
          <w:b/>
          <w:bCs/>
          <w:i/>
          <w:iCs/>
          <w:sz w:val="20"/>
          <w:szCs w:val="20"/>
        </w:rPr>
        <w:t xml:space="preserve"> – Outpatient UB04 Form</w:t>
      </w:r>
    </w:p>
    <w:p w14:paraId="5D2A044B" w14:textId="77777777" w:rsidR="002B29E6" w:rsidRDefault="002B29E6" w:rsidP="006C23F7">
      <w:pPr>
        <w:jc w:val="both"/>
      </w:pPr>
    </w:p>
    <w:p w14:paraId="4C188158" w14:textId="4FA3CA80" w:rsidR="007946F7" w:rsidRDefault="00D16186" w:rsidP="00AF010E">
      <w:pPr>
        <w:pStyle w:val="Heading1"/>
      </w:pPr>
      <w:bookmarkStart w:id="6" w:name="_Toc45293104"/>
      <w:r w:rsidRPr="00EF688A">
        <w:lastRenderedPageBreak/>
        <w:t xml:space="preserve">Costing Systems and </w:t>
      </w:r>
      <w:r w:rsidR="00425E49" w:rsidRPr="00EF688A">
        <w:t>Billing</w:t>
      </w:r>
      <w:bookmarkEnd w:id="6"/>
    </w:p>
    <w:p w14:paraId="5FD57C6A" w14:textId="5B075201" w:rsidR="003525A6" w:rsidRPr="003525A6" w:rsidRDefault="00C82EE5" w:rsidP="00AF010E">
      <w:pPr>
        <w:pStyle w:val="Heading2"/>
      </w:pPr>
      <w:bookmarkStart w:id="7" w:name="_Toc45293105"/>
      <w:r>
        <w:t xml:space="preserve">The Provider’s </w:t>
      </w:r>
      <w:r w:rsidR="003525A6" w:rsidRPr="003525A6">
        <w:t>Chargemaster</w:t>
      </w:r>
      <w:bookmarkEnd w:id="7"/>
    </w:p>
    <w:p w14:paraId="1414863B" w14:textId="01C3EDAD" w:rsidR="004F0C14" w:rsidRDefault="002F44A3" w:rsidP="00C8518C">
      <w:pPr>
        <w:jc w:val="both"/>
      </w:pPr>
      <w:r>
        <w:t xml:space="preserve">How does a provider determine </w:t>
      </w:r>
      <w:r w:rsidR="00454149">
        <w:t xml:space="preserve">how much they will bill?  The key to this is the provider’s chargemaster.  A chargemaster is a list of all the billable services and supplies </w:t>
      </w:r>
      <w:r w:rsidR="00DB6F4E">
        <w:t>that may be provided</w:t>
      </w:r>
      <w:r w:rsidR="00AE5122">
        <w:t xml:space="preserve"> to a patient in their course of receiving care</w:t>
      </w:r>
      <w:r w:rsidR="00DB6F4E">
        <w:t>, along with the</w:t>
      </w:r>
      <w:r w:rsidR="00C27C59">
        <w:t>ir cost</w:t>
      </w:r>
      <w:r w:rsidR="00AE5122">
        <w:t xml:space="preserve"> and the price billed</w:t>
      </w:r>
      <w:r w:rsidR="00CA42AA">
        <w:t xml:space="preserve"> (also referred to as </w:t>
      </w:r>
      <w:r w:rsidR="0003492A">
        <w:t xml:space="preserve">the </w:t>
      </w:r>
      <w:r w:rsidR="00CA42AA">
        <w:t>list price)</w:t>
      </w:r>
      <w:r w:rsidR="00C27C59">
        <w:t xml:space="preserve">.  </w:t>
      </w:r>
      <w:r w:rsidR="004706F2">
        <w:t>These may be individual products</w:t>
      </w:r>
      <w:r w:rsidR="005A0997">
        <w:t xml:space="preserve"> (supplies or drugs)</w:t>
      </w:r>
      <w:r w:rsidR="004706F2">
        <w:t>, or a procedure</w:t>
      </w:r>
      <w:r w:rsidR="005A0997">
        <w:t xml:space="preserve"> (</w:t>
      </w:r>
      <w:r w:rsidR="0055173A">
        <w:t>laboratory test or x-ray)</w:t>
      </w:r>
      <w:r w:rsidR="004706F2">
        <w:t xml:space="preserve">, or even a per day room </w:t>
      </w:r>
      <w:r w:rsidR="00C216F3">
        <w:t>cost</w:t>
      </w:r>
      <w:r w:rsidR="004706F2">
        <w:t xml:space="preserve">.  </w:t>
      </w:r>
      <w:r w:rsidR="00C27C59">
        <w:t>The provider uses the cost information to determine how much to bill</w:t>
      </w:r>
      <w:r w:rsidR="00AE5122">
        <w:t xml:space="preserve"> for the episode of care</w:t>
      </w:r>
      <w:r w:rsidR="00C27C59">
        <w:t xml:space="preserve">.   </w:t>
      </w:r>
    </w:p>
    <w:p w14:paraId="08C06655" w14:textId="31EB8B9C" w:rsidR="00FD1E8E" w:rsidRDefault="004F0C14" w:rsidP="00C8518C">
      <w:pPr>
        <w:jc w:val="both"/>
      </w:pPr>
      <w:r>
        <w:t xml:space="preserve">When a patient receives care, </w:t>
      </w:r>
      <w:r w:rsidR="006E780C">
        <w:t xml:space="preserve">everything </w:t>
      </w:r>
      <w:r w:rsidR="00DD27FA">
        <w:t>is</w:t>
      </w:r>
      <w:r w:rsidR="006E780C">
        <w:t xml:space="preserve"> recorded in the patient’s record</w:t>
      </w:r>
      <w:r w:rsidR="00E554C3">
        <w:t xml:space="preserve"> and</w:t>
      </w:r>
      <w:r w:rsidR="006E780C">
        <w:t xml:space="preserve"> reviewed by </w:t>
      </w:r>
      <w:r w:rsidR="00573825">
        <w:t xml:space="preserve">coders, who assign the appropriate codes for reporting and completing the claim.  </w:t>
      </w:r>
      <w:r w:rsidR="00E021FC">
        <w:t xml:space="preserve">The codes translate into charges in the chargemaster.  </w:t>
      </w:r>
    </w:p>
    <w:p w14:paraId="666D8F3E" w14:textId="296C2D6B" w:rsidR="009D2893" w:rsidRDefault="006B5803" w:rsidP="009D2893">
      <w:pPr>
        <w:jc w:val="both"/>
      </w:pPr>
      <w:r>
        <w:t>The c</w:t>
      </w:r>
      <w:r w:rsidR="00FE4DC1">
        <w:t>harge master pricing</w:t>
      </w:r>
      <w:r>
        <w:t xml:space="preserve"> is based on the </w:t>
      </w:r>
      <w:r w:rsidR="00F95FCB">
        <w:t>provider’s cost to provide the service or supply but</w:t>
      </w:r>
      <w:r w:rsidR="00161EA2">
        <w:t xml:space="preserve"> often</w:t>
      </w:r>
      <w:r w:rsidR="00F95FCB">
        <w:t xml:space="preserve"> adjusted to include </w:t>
      </w:r>
      <w:r w:rsidR="005943AD">
        <w:t>some margin</w:t>
      </w:r>
      <w:r w:rsidR="003B029C">
        <w:t xml:space="preserve">; </w:t>
      </w:r>
      <w:r w:rsidR="005943AD">
        <w:t xml:space="preserve">these adjustments </w:t>
      </w:r>
      <w:r w:rsidR="00AE5122">
        <w:t xml:space="preserve">may </w:t>
      </w:r>
      <w:r w:rsidR="005943AD">
        <w:t xml:space="preserve">vary based on the type of service or supply.  </w:t>
      </w:r>
      <w:r w:rsidR="009D2893">
        <w:t xml:space="preserve">A provider uses this marked up pricing as a starting point in </w:t>
      </w:r>
      <w:r w:rsidR="002E0694">
        <w:t xml:space="preserve">contract </w:t>
      </w:r>
      <w:r w:rsidR="009D2893">
        <w:t xml:space="preserve">negotiations with payers. </w:t>
      </w:r>
      <w:r w:rsidR="0044540E">
        <w:t xml:space="preserve"> The charge to cost ratio is </w:t>
      </w:r>
      <w:r w:rsidR="007A463D">
        <w:t xml:space="preserve">a commonly used benchmark; </w:t>
      </w:r>
      <w:r w:rsidR="00A56A99">
        <w:t xml:space="preserve">most hospitals ratio is in the 1.5 to 3.5 </w:t>
      </w:r>
      <w:r w:rsidR="00315510">
        <w:t>range but</w:t>
      </w:r>
      <w:r w:rsidR="00A56A99">
        <w:t xml:space="preserve"> is dependent on many factors such as hospital size, </w:t>
      </w:r>
      <w:r w:rsidR="00A83E96">
        <w:t xml:space="preserve">costs, geographic </w:t>
      </w:r>
      <w:proofErr w:type="gramStart"/>
      <w:r w:rsidR="00A83E96">
        <w:t>location</w:t>
      </w:r>
      <w:proofErr w:type="gramEnd"/>
      <w:r w:rsidR="00A83E96">
        <w:t xml:space="preserve"> and payer mix.  </w:t>
      </w:r>
      <w:r w:rsidR="009D2893">
        <w:t>The payers are</w:t>
      </w:r>
      <w:r w:rsidR="00A83E96">
        <w:t xml:space="preserve"> </w:t>
      </w:r>
      <w:r w:rsidR="009D2893">
        <w:t>billed based on the negotiated contract pricing, such as a percent of charges or a fixed dollar amount.  A self-pay patient will be charged the full amount that is listed in the chargemaster</w:t>
      </w:r>
      <w:r w:rsidR="00A83E96">
        <w:t>, and Medicare/Medicaid rates are often a fixed amount.</w:t>
      </w:r>
    </w:p>
    <w:p w14:paraId="652589FA" w14:textId="7080F358" w:rsidR="00FE4DC1" w:rsidRDefault="009D2893" w:rsidP="00C8518C">
      <w:pPr>
        <w:jc w:val="both"/>
      </w:pPr>
      <w:r>
        <w:t xml:space="preserve">The chargemaster is reviewed frequently to ensure that the pricing is still </w:t>
      </w:r>
      <w:r w:rsidR="00D200EB">
        <w:t xml:space="preserve">relevant and </w:t>
      </w:r>
      <w:r w:rsidR="003B029C">
        <w:t>covers</w:t>
      </w:r>
      <w:r w:rsidR="00D200EB">
        <w:t xml:space="preserve"> the costs incurred by the provider.  </w:t>
      </w:r>
      <w:r w:rsidR="00D84322">
        <w:t>A hospital or healthca</w:t>
      </w:r>
      <w:r w:rsidR="00D84840">
        <w:t>r</w:t>
      </w:r>
      <w:r w:rsidR="00D84322">
        <w:t xml:space="preserve">e system may enlist the </w:t>
      </w:r>
      <w:r w:rsidR="00D84840">
        <w:t>help of a consultant or firm specializing in revenue management to help review the chargemaster pricing.  These consultants have access to chargemasters across the country and can advise a provider when their pricing is out of synch with market pricing.</w:t>
      </w:r>
    </w:p>
    <w:p w14:paraId="03F80EBC" w14:textId="1C0159E7" w:rsidR="00D84840" w:rsidRDefault="00AA0030" w:rsidP="00C8518C">
      <w:pPr>
        <w:jc w:val="both"/>
      </w:pPr>
      <w:r>
        <w:t xml:space="preserve">Within a hospital setting, the </w:t>
      </w:r>
      <w:r w:rsidR="005E1E13">
        <w:t>F</w:t>
      </w:r>
      <w:r>
        <w:t xml:space="preserve">inance </w:t>
      </w:r>
      <w:r w:rsidR="005E1E13">
        <w:t>D</w:t>
      </w:r>
      <w:r>
        <w:t xml:space="preserve">epartment </w:t>
      </w:r>
      <w:r w:rsidR="00CC457C">
        <w:t xml:space="preserve">oversees and manages the chargemaster review process.  They may involve clinicians and physicians to ensure they are including all relevant supplies and services for the care, </w:t>
      </w:r>
      <w:r w:rsidR="0092115D">
        <w:t xml:space="preserve">supply chain personnel for pricing and product selections, and coders and clinical documentation specialists to </w:t>
      </w:r>
      <w:r w:rsidR="003502D2">
        <w:t>ensure they are up to date on changes and adjustments (e.g., added codes for new services provided</w:t>
      </w:r>
      <w:r w:rsidR="001B73F3">
        <w:t>, Medicare updates</w:t>
      </w:r>
      <w:r w:rsidR="003502D2">
        <w:t>).</w:t>
      </w:r>
    </w:p>
    <w:p w14:paraId="11D81562" w14:textId="51C40F18" w:rsidR="00914CA8" w:rsidRDefault="00914CA8" w:rsidP="00C8518C">
      <w:pPr>
        <w:jc w:val="both"/>
      </w:pPr>
      <w:r>
        <w:t xml:space="preserve">Figure </w:t>
      </w:r>
      <w:r w:rsidR="005E1E13">
        <w:t>5</w:t>
      </w:r>
      <w:r w:rsidR="002B29E6">
        <w:t xml:space="preserve"> shows an extract of a hospital chargemaster, with several supplies and services and their costs listed.</w:t>
      </w:r>
    </w:p>
    <w:p w14:paraId="1D77FF80" w14:textId="2F5874FB" w:rsidR="002B29E6" w:rsidRDefault="003D2F74" w:rsidP="00C8518C">
      <w:pPr>
        <w:jc w:val="both"/>
      </w:pPr>
      <w:r w:rsidRPr="004B3EBD">
        <w:rPr>
          <w:noProof/>
          <w:bdr w:val="single" w:sz="4" w:space="0" w:color="auto"/>
        </w:rPr>
        <w:lastRenderedPageBreak/>
        <w:drawing>
          <wp:anchor distT="0" distB="0" distL="114300" distR="114300" simplePos="0" relativeHeight="251662336" behindDoc="0" locked="0" layoutInCell="1" allowOverlap="1" wp14:anchorId="1CC9EEDF" wp14:editId="5EDF9DD4">
            <wp:simplePos x="0" y="0"/>
            <wp:positionH relativeFrom="margin">
              <wp:align>center</wp:align>
            </wp:positionH>
            <wp:positionV relativeFrom="paragraph">
              <wp:posOffset>0</wp:posOffset>
            </wp:positionV>
            <wp:extent cx="4837814" cy="3133725"/>
            <wp:effectExtent l="0" t="0" r="127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37814" cy="3133725"/>
                    </a:xfrm>
                    <a:prstGeom prst="rect">
                      <a:avLst/>
                    </a:prstGeom>
                  </pic:spPr>
                </pic:pic>
              </a:graphicData>
            </a:graphic>
          </wp:anchor>
        </w:drawing>
      </w:r>
    </w:p>
    <w:p w14:paraId="6F8C8969" w14:textId="528B39D6" w:rsidR="004B3EBD" w:rsidRPr="005E1E13" w:rsidRDefault="004B3EBD" w:rsidP="00C8518C">
      <w:pPr>
        <w:jc w:val="both"/>
        <w:rPr>
          <w:b/>
          <w:bCs/>
          <w:i/>
          <w:iCs/>
          <w:sz w:val="20"/>
          <w:szCs w:val="20"/>
        </w:rPr>
      </w:pPr>
      <w:r w:rsidRPr="005E1E13">
        <w:rPr>
          <w:b/>
          <w:bCs/>
          <w:i/>
          <w:iCs/>
          <w:sz w:val="20"/>
          <w:szCs w:val="20"/>
        </w:rPr>
        <w:t xml:space="preserve">Figure </w:t>
      </w:r>
      <w:r w:rsidR="005E1E13" w:rsidRPr="005E1E13">
        <w:rPr>
          <w:b/>
          <w:bCs/>
          <w:i/>
          <w:iCs/>
          <w:sz w:val="20"/>
          <w:szCs w:val="20"/>
        </w:rPr>
        <w:t>5</w:t>
      </w:r>
      <w:r w:rsidRPr="005E1E13">
        <w:rPr>
          <w:b/>
          <w:bCs/>
          <w:i/>
          <w:iCs/>
          <w:sz w:val="20"/>
          <w:szCs w:val="20"/>
        </w:rPr>
        <w:t xml:space="preserve"> – Sample hospital chargemaster extract</w:t>
      </w:r>
    </w:p>
    <w:p w14:paraId="6CEFB4F2" w14:textId="77777777" w:rsidR="005E3F6D" w:rsidRDefault="005E3F6D" w:rsidP="004D277C">
      <w:pPr>
        <w:pStyle w:val="Heading2"/>
      </w:pPr>
    </w:p>
    <w:p w14:paraId="0AFB464E" w14:textId="3B7AB4D3" w:rsidR="00816D6F" w:rsidRDefault="004D277C" w:rsidP="004D277C">
      <w:pPr>
        <w:pStyle w:val="Heading2"/>
      </w:pPr>
      <w:bookmarkStart w:id="8" w:name="_Toc45293106"/>
      <w:r>
        <w:t>Example Claim Calculation</w:t>
      </w:r>
      <w:bookmarkEnd w:id="8"/>
    </w:p>
    <w:p w14:paraId="6CFDDBDB" w14:textId="2FECE580" w:rsidR="004D277C" w:rsidRDefault="00F62960" w:rsidP="00C8518C">
      <w:pPr>
        <w:jc w:val="both"/>
      </w:pPr>
      <w:r w:rsidRPr="00F62960">
        <w:rPr>
          <w:noProof/>
        </w:rPr>
        <w:drawing>
          <wp:anchor distT="0" distB="0" distL="114300" distR="114300" simplePos="0" relativeHeight="251664384" behindDoc="1" locked="0" layoutInCell="1" allowOverlap="1" wp14:anchorId="791FA63C" wp14:editId="19180594">
            <wp:simplePos x="0" y="0"/>
            <wp:positionH relativeFrom="margin">
              <wp:posOffset>2686050</wp:posOffset>
            </wp:positionH>
            <wp:positionV relativeFrom="paragraph">
              <wp:posOffset>61595</wp:posOffset>
            </wp:positionV>
            <wp:extent cx="3656965" cy="1895475"/>
            <wp:effectExtent l="0" t="0" r="635" b="9525"/>
            <wp:wrapTight wrapText="bothSides">
              <wp:wrapPolygon edited="0">
                <wp:start x="0" y="0"/>
                <wp:lineTo x="0" y="21491"/>
                <wp:lineTo x="21491" y="21491"/>
                <wp:lineTo x="2149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6965" cy="1895475"/>
                    </a:xfrm>
                    <a:prstGeom prst="rect">
                      <a:avLst/>
                    </a:prstGeom>
                  </pic:spPr>
                </pic:pic>
              </a:graphicData>
            </a:graphic>
            <wp14:sizeRelH relativeFrom="margin">
              <wp14:pctWidth>0</wp14:pctWidth>
            </wp14:sizeRelH>
            <wp14:sizeRelV relativeFrom="margin">
              <wp14:pctHeight>0</wp14:pctHeight>
            </wp14:sizeRelV>
          </wp:anchor>
        </w:drawing>
      </w:r>
      <w:r w:rsidR="00DD08FA">
        <w:t xml:space="preserve">Miller Medical Center (MMC) </w:t>
      </w:r>
      <w:r w:rsidR="00FB4E90">
        <w:t>developed their standard pricing for total knee implants based upon the brand of implant, as their pricing differed by vendor.  The Finance Department developed the pricing schedule</w:t>
      </w:r>
      <w:r w:rsidR="00EF1491">
        <w:t xml:space="preserve"> shown at right.  </w:t>
      </w:r>
    </w:p>
    <w:p w14:paraId="2E2D3F8F" w14:textId="66E4C57A" w:rsidR="00EF1491" w:rsidRDefault="00EF1491" w:rsidP="00C8518C">
      <w:pPr>
        <w:jc w:val="both"/>
      </w:pPr>
      <w:r>
        <w:t>In their negotiations with Aetna, they agreed to accept 65% of standard charge for in-network patients, and 75% of standard for out</w:t>
      </w:r>
      <w:r w:rsidR="00E33EA6">
        <w:t>-</w:t>
      </w:r>
      <w:r>
        <w:t>of</w:t>
      </w:r>
      <w:r w:rsidR="00E33EA6">
        <w:t>-</w:t>
      </w:r>
      <w:r>
        <w:t>network patients.</w:t>
      </w:r>
    </w:p>
    <w:p w14:paraId="0AC2A5EC" w14:textId="02E284C9" w:rsidR="00EF1491" w:rsidRDefault="00EF1491" w:rsidP="00C8518C">
      <w:pPr>
        <w:jc w:val="both"/>
      </w:pPr>
      <w:r>
        <w:t>Based upon this, MMC expects the following payment schedule</w:t>
      </w:r>
      <w:r w:rsidR="003F3268">
        <w:t xml:space="preserve"> for Aetna patients</w:t>
      </w:r>
      <w:r w:rsidR="00194851">
        <w:t>, and will submit claims with the following costs</w:t>
      </w:r>
      <w:r>
        <w:t>:</w:t>
      </w:r>
    </w:p>
    <w:p w14:paraId="5F614186" w14:textId="6BC88701" w:rsidR="00EF1491" w:rsidRDefault="003F3268" w:rsidP="00194851">
      <w:pPr>
        <w:jc w:val="center"/>
      </w:pPr>
      <w:r w:rsidRPr="003F3268">
        <w:rPr>
          <w:noProof/>
        </w:rPr>
        <w:lastRenderedPageBreak/>
        <w:drawing>
          <wp:inline distT="0" distB="0" distL="0" distR="0" wp14:anchorId="06F01BEA" wp14:editId="255CA503">
            <wp:extent cx="4962525" cy="1915556"/>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08384" cy="1933258"/>
                    </a:xfrm>
                    <a:prstGeom prst="rect">
                      <a:avLst/>
                    </a:prstGeom>
                  </pic:spPr>
                </pic:pic>
              </a:graphicData>
            </a:graphic>
          </wp:inline>
        </w:drawing>
      </w:r>
    </w:p>
    <w:p w14:paraId="52CB171F" w14:textId="77777777" w:rsidR="00AB0D15" w:rsidRDefault="00AB0D15" w:rsidP="00AF010E">
      <w:pPr>
        <w:pStyle w:val="Heading2"/>
      </w:pPr>
    </w:p>
    <w:p w14:paraId="6416B05A" w14:textId="499ACD84" w:rsidR="003525A6" w:rsidRPr="003525A6" w:rsidRDefault="003525A6" w:rsidP="00AF010E">
      <w:pPr>
        <w:pStyle w:val="Heading2"/>
      </w:pPr>
      <w:bookmarkStart w:id="9" w:name="_Toc45293107"/>
      <w:r w:rsidRPr="003525A6">
        <w:t>Pricing Transparency</w:t>
      </w:r>
      <w:bookmarkEnd w:id="9"/>
    </w:p>
    <w:p w14:paraId="31D519A3" w14:textId="68BFE987" w:rsidR="00391B21" w:rsidRDefault="00C25E98" w:rsidP="00C8518C">
      <w:pPr>
        <w:jc w:val="both"/>
      </w:pPr>
      <w:r>
        <w:t xml:space="preserve">In 2019, the Trump Administration passed an Executive Order </w:t>
      </w:r>
      <w:r w:rsidR="00A85ECD">
        <w:t xml:space="preserve">to </w:t>
      </w:r>
      <w:r w:rsidR="00DA2ED0">
        <w:t>increase pric</w:t>
      </w:r>
      <w:r w:rsidR="00686053">
        <w:t>e</w:t>
      </w:r>
      <w:r w:rsidR="00DA2ED0">
        <w:t xml:space="preserve"> transparency </w:t>
      </w:r>
      <w:r w:rsidR="001B3816">
        <w:t xml:space="preserve">available to patients and potentially increase competition in the healthcare industry.  </w:t>
      </w:r>
      <w:r w:rsidR="006E7612">
        <w:t>In response to this order,</w:t>
      </w:r>
      <w:r w:rsidR="00391B21" w:rsidRPr="00391B21">
        <w:t xml:space="preserve"> the Department of Health and Human Services, the Department of Labor, and the Department of the Treasury (collectively, the Departments) </w:t>
      </w:r>
      <w:r w:rsidR="00391B21">
        <w:t>p</w:t>
      </w:r>
      <w:r w:rsidR="00391B21" w:rsidRPr="00391B21">
        <w:t xml:space="preserve">roposed </w:t>
      </w:r>
      <w:r w:rsidR="00391B21">
        <w:t xml:space="preserve">a </w:t>
      </w:r>
      <w:r w:rsidR="00391B21" w:rsidRPr="00391B21">
        <w:t>rule</w:t>
      </w:r>
      <w:r w:rsidR="00391B21">
        <w:t xml:space="preserve"> that would require health plans </w:t>
      </w:r>
      <w:r w:rsidR="008843E3">
        <w:t xml:space="preserve">to disclose pricing information to their participants up front prior to receiving care.  </w:t>
      </w:r>
    </w:p>
    <w:p w14:paraId="22742C1F" w14:textId="5ABD051F" w:rsidR="00E64D1F" w:rsidRDefault="00A545CB" w:rsidP="00C8518C">
      <w:pPr>
        <w:jc w:val="both"/>
      </w:pPr>
      <w:r>
        <w:t xml:space="preserve">In the past there has been little information provided until a patient received the bill for care.  </w:t>
      </w:r>
      <w:r w:rsidR="00E64D1F">
        <w:t>Per CMS.gov, the rule proposes the following requirements</w:t>
      </w:r>
      <w:r w:rsidR="003F4453">
        <w:t xml:space="preserve"> to begin in 2021:</w:t>
      </w:r>
    </w:p>
    <w:p w14:paraId="7F08D509" w14:textId="6E3327BF" w:rsidR="00E64D1F" w:rsidRPr="00E64D1F" w:rsidRDefault="00E64D1F" w:rsidP="00F3624B">
      <w:pPr>
        <w:numPr>
          <w:ilvl w:val="0"/>
          <w:numId w:val="2"/>
        </w:numPr>
        <w:shd w:val="clear" w:color="auto" w:fill="FAFAFA"/>
        <w:spacing w:before="100" w:beforeAutospacing="1" w:after="100" w:afterAutospacing="1" w:line="240" w:lineRule="auto"/>
        <w:ind w:hanging="540"/>
        <w:jc w:val="both"/>
        <w:rPr>
          <w:i/>
          <w:iCs/>
        </w:rPr>
      </w:pPr>
      <w:r w:rsidRPr="00194851">
        <w:rPr>
          <w:b/>
          <w:bCs/>
          <w:i/>
          <w:iCs/>
        </w:rPr>
        <w:t>Comprehensive Machine-Readable File:</w:t>
      </w:r>
      <w:r w:rsidRPr="00E64D1F">
        <w:rPr>
          <w:i/>
          <w:iCs/>
        </w:rPr>
        <w:t> </w:t>
      </w:r>
      <w:r w:rsidR="00194851">
        <w:rPr>
          <w:i/>
          <w:iCs/>
        </w:rPr>
        <w:t xml:space="preserve"> </w:t>
      </w:r>
      <w:r w:rsidRPr="00E64D1F">
        <w:rPr>
          <w:i/>
          <w:iCs/>
        </w:rPr>
        <w:t>Hospitals will be required to make public all hospital standard charges (including the gross charges, payer-specific negotiated charges, the amount the hospital is willing to accept in cash from a patient, and the minimum and maximum negotiated charges) for all items and services on the Internet in a single data file that can be read by other computer systems. The file must include additional information such as common billing or accounting codes used by the hospital (such as Healthcare Common Procedure Coding System (HCPCS) codes) and a description of the item or service to provide common elements for consumers to compare standard charges from hospital to hospital.  </w:t>
      </w:r>
    </w:p>
    <w:p w14:paraId="10E1B4C8" w14:textId="39025179" w:rsidR="00E64D1F" w:rsidRPr="00E64D1F" w:rsidRDefault="00E64D1F" w:rsidP="00F3624B">
      <w:pPr>
        <w:numPr>
          <w:ilvl w:val="0"/>
          <w:numId w:val="2"/>
        </w:numPr>
        <w:shd w:val="clear" w:color="auto" w:fill="FAFAFA"/>
        <w:spacing w:before="100" w:beforeAutospacing="1" w:after="100" w:afterAutospacing="1" w:line="240" w:lineRule="auto"/>
        <w:ind w:hanging="540"/>
        <w:jc w:val="both"/>
        <w:rPr>
          <w:i/>
          <w:iCs/>
        </w:rPr>
      </w:pPr>
      <w:r w:rsidRPr="00BE1B70">
        <w:rPr>
          <w:b/>
          <w:bCs/>
          <w:i/>
          <w:iCs/>
        </w:rPr>
        <w:t>Display of Shoppable Services in a Consumer-Friendly Manner:</w:t>
      </w:r>
      <w:r w:rsidRPr="00E64D1F">
        <w:rPr>
          <w:i/>
          <w:iCs/>
        </w:rPr>
        <w:t>  Hospitals will be required to make public payer-specific negotiated charges, the amount the hospital is willing to accept in cash from a patient for an item or service, and the minimum and maximum negotiated charges for 300 common shoppable services in a manner that is consumer-friendly and update the information at least annually.</w:t>
      </w:r>
      <w:r>
        <w:rPr>
          <w:rStyle w:val="FootnoteReference"/>
          <w:i/>
          <w:iCs/>
        </w:rPr>
        <w:footnoteReference w:id="3"/>
      </w:r>
    </w:p>
    <w:p w14:paraId="3E5B6F69" w14:textId="00864127" w:rsidR="00A23A54" w:rsidRDefault="003077DF" w:rsidP="00C8518C">
      <w:pPr>
        <w:jc w:val="both"/>
      </w:pPr>
      <w:r>
        <w:t xml:space="preserve">This would require that hospitals </w:t>
      </w:r>
      <w:r w:rsidR="002B3AF1">
        <w:t xml:space="preserve">start reporting payment rates they </w:t>
      </w:r>
      <w:r w:rsidR="00BE1B70">
        <w:t>have negotiated with</w:t>
      </w:r>
      <w:r w:rsidR="002B3AF1">
        <w:t xml:space="preserve"> health plans (commercial insurance/payers)</w:t>
      </w:r>
      <w:r w:rsidR="00602723">
        <w:t xml:space="preserve"> publicly</w:t>
      </w:r>
      <w:r w:rsidR="002B3AF1">
        <w:t xml:space="preserve">, which many </w:t>
      </w:r>
      <w:r w:rsidR="00A23A54">
        <w:t xml:space="preserve">providers </w:t>
      </w:r>
      <w:r w:rsidR="002B3AF1">
        <w:t xml:space="preserve">regard as </w:t>
      </w:r>
      <w:r w:rsidR="006B1926">
        <w:t>competitive information and they do not wish to share</w:t>
      </w:r>
      <w:r w:rsidR="002B3AF1">
        <w:t xml:space="preserve">. </w:t>
      </w:r>
      <w:r w:rsidR="006B1926">
        <w:t xml:space="preserve"> (</w:t>
      </w:r>
      <w:r w:rsidR="000D41F4">
        <w:t xml:space="preserve">The American Hospital Association </w:t>
      </w:r>
      <w:r w:rsidR="00C64634">
        <w:t xml:space="preserve">and other organizations </w:t>
      </w:r>
      <w:r w:rsidR="000D41F4">
        <w:t>ha</w:t>
      </w:r>
      <w:r w:rsidR="00C64634">
        <w:t>ve</w:t>
      </w:r>
      <w:r w:rsidR="000D41F4">
        <w:t xml:space="preserve"> taken legal action to st</w:t>
      </w:r>
      <w:r w:rsidR="00A23A54">
        <w:t>op this initiative.)</w:t>
      </w:r>
    </w:p>
    <w:p w14:paraId="596A0E21" w14:textId="28D94982" w:rsidR="003525A6" w:rsidRDefault="00947EC9" w:rsidP="00C8518C">
      <w:pPr>
        <w:jc w:val="both"/>
      </w:pPr>
      <w:r>
        <w:lastRenderedPageBreak/>
        <w:t>Today,</w:t>
      </w:r>
      <w:r w:rsidR="00C25E98" w:rsidRPr="00C25E98">
        <w:t xml:space="preserve"> patients often lack access to useful price and quality information</w:t>
      </w:r>
      <w:r w:rsidR="00934228">
        <w:t>.</w:t>
      </w:r>
      <w:r w:rsidR="00C25E98" w:rsidRPr="00C25E98">
        <w:t xml:space="preserve">  </w:t>
      </w:r>
      <w:r w:rsidR="006659F3">
        <w:t>While emergency situations do not lend themselves to price comparisons, patients may want to compare</w:t>
      </w:r>
      <w:r w:rsidR="00BE1B70">
        <w:t xml:space="preserve"> pricing</w:t>
      </w:r>
      <w:r w:rsidR="006659F3">
        <w:t xml:space="preserve"> (as well as quality and outcomes) for elective</w:t>
      </w:r>
      <w:r w:rsidR="00E5517C">
        <w:t xml:space="preserve"> </w:t>
      </w:r>
      <w:r w:rsidR="00BE1B70">
        <w:t xml:space="preserve">or </w:t>
      </w:r>
      <w:r w:rsidR="00E5517C">
        <w:t>“shoppable”</w:t>
      </w:r>
      <w:r w:rsidR="006659F3">
        <w:t xml:space="preserve"> procedures.</w:t>
      </w:r>
      <w:r w:rsidR="001F5304">
        <w:t xml:space="preserve">  </w:t>
      </w:r>
      <w:r w:rsidR="0092720B">
        <w:t>Several</w:t>
      </w:r>
      <w:r w:rsidR="001F5304">
        <w:t xml:space="preserve"> healthcare providers now include cost estimator tools </w:t>
      </w:r>
      <w:r w:rsidR="00A52096">
        <w:t>on their web sites for patients to calculate their cost prior to scheduling</w:t>
      </w:r>
      <w:r w:rsidR="00EB2F5B">
        <w:t xml:space="preserve">.  By entering their specific health plan information, the estimators can give </w:t>
      </w:r>
      <w:r w:rsidR="009C6D1E">
        <w:t>good</w:t>
      </w:r>
      <w:r w:rsidR="00A13348">
        <w:t xml:space="preserve"> estimate of </w:t>
      </w:r>
      <w:r w:rsidR="009C6D1E">
        <w:t xml:space="preserve">total </w:t>
      </w:r>
      <w:r w:rsidR="00A13348">
        <w:t>cost and out of pocket requirements for patients.</w:t>
      </w:r>
      <w:r w:rsidR="0092720B">
        <w:t xml:space="preserve">  But these tools do not make the </w:t>
      </w:r>
      <w:r w:rsidR="00F96DA5">
        <w:t xml:space="preserve">cost </w:t>
      </w:r>
      <w:r w:rsidR="0092720B">
        <w:t xml:space="preserve">information </w:t>
      </w:r>
      <w:r w:rsidR="00F96DA5">
        <w:t>public</w:t>
      </w:r>
      <w:r w:rsidR="001C609F">
        <w:t>, as the price transparen</w:t>
      </w:r>
      <w:r w:rsidR="00F96DA5">
        <w:t>cy</w:t>
      </w:r>
      <w:r w:rsidR="001C609F">
        <w:t xml:space="preserve"> rule would require.</w:t>
      </w:r>
    </w:p>
    <w:p w14:paraId="6836A1DF" w14:textId="191AE9A5" w:rsidR="008C7017" w:rsidRDefault="008C7017" w:rsidP="00AF010E">
      <w:pPr>
        <w:pStyle w:val="Heading1"/>
      </w:pPr>
      <w:bookmarkStart w:id="10" w:name="_Toc45293108"/>
      <w:r w:rsidRPr="008C7017">
        <w:t>Monitoring &amp; Reporting Systems</w:t>
      </w:r>
      <w:bookmarkEnd w:id="10"/>
    </w:p>
    <w:p w14:paraId="38820C20" w14:textId="47A2D78B" w:rsidR="00E66D33" w:rsidRDefault="002D3B20" w:rsidP="001D3F3E">
      <w:pPr>
        <w:jc w:val="both"/>
      </w:pPr>
      <w:r>
        <w:t xml:space="preserve">Monitoring processes and tracking key </w:t>
      </w:r>
      <w:r w:rsidR="00D81C70">
        <w:t xml:space="preserve">indicators (dollars and days) </w:t>
      </w:r>
      <w:r w:rsidR="005175A2">
        <w:t>are</w:t>
      </w:r>
      <w:r w:rsidR="001E348D">
        <w:t xml:space="preserve"> key to effectively managing a healthcare provider’s finances</w:t>
      </w:r>
      <w:r w:rsidR="005175A2">
        <w:t xml:space="preserve"> and revenue cycle.  </w:t>
      </w:r>
      <w:r w:rsidR="000973FA">
        <w:t xml:space="preserve">There are a wide variety of measures and dashboards that can be created to pinpoint </w:t>
      </w:r>
      <w:r w:rsidR="008E370D">
        <w:t>problem areas</w:t>
      </w:r>
      <w:r w:rsidR="006507B7">
        <w:t xml:space="preserve"> </w:t>
      </w:r>
      <w:r w:rsidR="008E370D">
        <w:t xml:space="preserve">and </w:t>
      </w:r>
      <w:r w:rsidR="00D768EE">
        <w:t xml:space="preserve">identify </w:t>
      </w:r>
      <w:r w:rsidR="008E370D">
        <w:t>where focused improvement efforts are needed.</w:t>
      </w:r>
    </w:p>
    <w:p w14:paraId="69A06AB8" w14:textId="11696C27" w:rsidR="00F76FEF" w:rsidRDefault="00F76FEF" w:rsidP="00A5603B">
      <w:pPr>
        <w:pStyle w:val="Heading2"/>
      </w:pPr>
      <w:bookmarkStart w:id="11" w:name="_Toc45293109"/>
      <w:r>
        <w:t xml:space="preserve">Payment </w:t>
      </w:r>
      <w:r w:rsidR="00121AC0">
        <w:t xml:space="preserve">Collection &amp; </w:t>
      </w:r>
      <w:r>
        <w:t>Processing</w:t>
      </w:r>
      <w:bookmarkEnd w:id="11"/>
      <w:r>
        <w:t xml:space="preserve"> </w:t>
      </w:r>
    </w:p>
    <w:p w14:paraId="7B936D5D" w14:textId="076D595A" w:rsidR="00C446E6" w:rsidRDefault="00C446E6" w:rsidP="00C446E6">
      <w:pPr>
        <w:jc w:val="both"/>
      </w:pPr>
      <w:r>
        <w:t xml:space="preserve">Cash flow management entails balancing the money coming in with payments going out and is key to financial viability and profitability.  Healthcare providers are even more challenged as the cycle of invoicing and receiving payment can be prolonged </w:t>
      </w:r>
      <w:r w:rsidR="00C30B87">
        <w:t xml:space="preserve">(typically well over 30 days) </w:t>
      </w:r>
      <w:r>
        <w:t>when dealing with payers</w:t>
      </w:r>
      <w:r w:rsidR="00FE1AEC">
        <w:t>.  They must set up tracking mechanisms to identify</w:t>
      </w:r>
      <w:r w:rsidR="005175A2">
        <w:t xml:space="preserve"> payments that have been received as well as those that have not been received.</w:t>
      </w:r>
    </w:p>
    <w:p w14:paraId="5904CDB6" w14:textId="0D161CBF" w:rsidR="00A5603B" w:rsidRDefault="00853BB5" w:rsidP="00912F1B">
      <w:pPr>
        <w:jc w:val="both"/>
      </w:pPr>
      <w:r>
        <w:t xml:space="preserve">As claims are processed and sent to the various payers, the provider’s Finance </w:t>
      </w:r>
      <w:r w:rsidR="00962D28">
        <w:t>D</w:t>
      </w:r>
      <w:r>
        <w:t xml:space="preserve">epartment tracks the amounts outstanding, and the number of days </w:t>
      </w:r>
      <w:r w:rsidR="001203EB">
        <w:t xml:space="preserve">unpaid.  </w:t>
      </w:r>
      <w:r w:rsidR="001D1D7C">
        <w:t>Typically,</w:t>
      </w:r>
      <w:r w:rsidR="001203EB">
        <w:t xml:space="preserve"> the accounts receivable (unpaid invoices) are grouped by </w:t>
      </w:r>
      <w:r w:rsidR="00F14B0F">
        <w:t>number of days since issued, such as:</w:t>
      </w:r>
    </w:p>
    <w:p w14:paraId="6CF5D19A" w14:textId="2E090FB8" w:rsidR="00F14B0F" w:rsidRDefault="00F14B0F" w:rsidP="00630FD4">
      <w:pPr>
        <w:pStyle w:val="ListParagraph"/>
        <w:numPr>
          <w:ilvl w:val="0"/>
          <w:numId w:val="3"/>
        </w:numPr>
        <w:spacing w:after="0"/>
      </w:pPr>
      <w:r>
        <w:t>0 to 30 days</w:t>
      </w:r>
    </w:p>
    <w:p w14:paraId="2CACC1AD" w14:textId="332AD852" w:rsidR="00F14B0F" w:rsidRDefault="00F14B0F" w:rsidP="00630FD4">
      <w:pPr>
        <w:pStyle w:val="ListParagraph"/>
        <w:numPr>
          <w:ilvl w:val="0"/>
          <w:numId w:val="3"/>
        </w:numPr>
        <w:spacing w:after="0"/>
      </w:pPr>
      <w:r>
        <w:t>31 to 60 days</w:t>
      </w:r>
    </w:p>
    <w:p w14:paraId="0DB98DD8" w14:textId="6FB3BBA4" w:rsidR="00F14B0F" w:rsidRDefault="00F14B0F" w:rsidP="00630FD4">
      <w:pPr>
        <w:pStyle w:val="ListParagraph"/>
        <w:numPr>
          <w:ilvl w:val="0"/>
          <w:numId w:val="3"/>
        </w:numPr>
        <w:spacing w:after="0"/>
      </w:pPr>
      <w:r>
        <w:t>61 to 90 days</w:t>
      </w:r>
    </w:p>
    <w:p w14:paraId="5D3285ED" w14:textId="35512F34" w:rsidR="00D46F45" w:rsidRDefault="00D46F45" w:rsidP="00630FD4">
      <w:pPr>
        <w:pStyle w:val="ListParagraph"/>
        <w:numPr>
          <w:ilvl w:val="0"/>
          <w:numId w:val="3"/>
        </w:numPr>
        <w:spacing w:after="0"/>
      </w:pPr>
      <w:r>
        <w:t>91 to 120 days</w:t>
      </w:r>
    </w:p>
    <w:p w14:paraId="0D19B966" w14:textId="1442A5F0" w:rsidR="00F14B0F" w:rsidRDefault="00F14B0F" w:rsidP="00630FD4">
      <w:pPr>
        <w:pStyle w:val="ListParagraph"/>
        <w:numPr>
          <w:ilvl w:val="0"/>
          <w:numId w:val="3"/>
        </w:numPr>
      </w:pPr>
      <w:r>
        <w:t xml:space="preserve">More than </w:t>
      </w:r>
      <w:r w:rsidR="00D46F45">
        <w:t>12</w:t>
      </w:r>
      <w:r>
        <w:t>0 days</w:t>
      </w:r>
    </w:p>
    <w:p w14:paraId="33DB9CE0" w14:textId="54C24809" w:rsidR="00F14B0F" w:rsidRDefault="00C95F11" w:rsidP="00442CFB">
      <w:pPr>
        <w:jc w:val="both"/>
      </w:pPr>
      <w:r>
        <w:t>The amounts are grouped into these categories and can be reviewed regularly to determine where there may be problems</w:t>
      </w:r>
      <w:r w:rsidR="00E41613">
        <w:t>, where additional information or documentation may be required, or other actions</w:t>
      </w:r>
      <w:r w:rsidR="00FE1AEC">
        <w:t xml:space="preserve"> must be taken</w:t>
      </w:r>
      <w:r>
        <w:t>.</w:t>
      </w:r>
      <w:r w:rsidR="00710D17">
        <w:t xml:space="preserve">  It is important to </w:t>
      </w:r>
      <w:r w:rsidR="003A2D69">
        <w:t>actively manage these accounts, as the longer they go uncollected the less likely they are to ever be collected, either partially or in full.</w:t>
      </w:r>
      <w:r>
        <w:t xml:space="preserve">  </w:t>
      </w:r>
    </w:p>
    <w:p w14:paraId="16F9DFA9" w14:textId="7BC0B2ED" w:rsidR="00E33609" w:rsidRDefault="00E33609" w:rsidP="00442CFB">
      <w:pPr>
        <w:jc w:val="both"/>
      </w:pPr>
      <w:r>
        <w:t xml:space="preserve">As the payments are received </w:t>
      </w:r>
      <w:r w:rsidR="00476B79">
        <w:t>from payers and patients</w:t>
      </w:r>
      <w:r>
        <w:t>, they are posted to the appropriate accounts and removed from the accounts receivable report.</w:t>
      </w:r>
    </w:p>
    <w:p w14:paraId="492DAA67" w14:textId="3E01AD53" w:rsidR="008C7017" w:rsidRDefault="00574D6C" w:rsidP="00442CFB">
      <w:pPr>
        <w:pStyle w:val="Heading2"/>
        <w:jc w:val="both"/>
      </w:pPr>
      <w:bookmarkStart w:id="12" w:name="_Toc45293110"/>
      <w:r>
        <w:t>Key Performance Indicators</w:t>
      </w:r>
      <w:r w:rsidR="005A0F05">
        <w:t xml:space="preserve"> for Accounts Receivable</w:t>
      </w:r>
      <w:bookmarkEnd w:id="12"/>
    </w:p>
    <w:p w14:paraId="5E520AA1" w14:textId="308E2129" w:rsidR="00442CFB" w:rsidRDefault="000F76B6" w:rsidP="00442CFB">
      <w:pPr>
        <w:spacing w:after="0"/>
        <w:jc w:val="both"/>
      </w:pPr>
      <w:r>
        <w:t xml:space="preserve">Key performance indicators provide a method of measuring the </w:t>
      </w:r>
      <w:r w:rsidR="00F753A5">
        <w:t>effectiveness</w:t>
      </w:r>
      <w:r>
        <w:t xml:space="preserve"> of the accounts receivable function.  Benchmarking can be used to compare the organization’s performance to an expected standard </w:t>
      </w:r>
      <w:r w:rsidR="00F753A5">
        <w:t>within the same industry</w:t>
      </w:r>
      <w:r w:rsidR="00D46F45">
        <w:t xml:space="preserve">, and </w:t>
      </w:r>
      <w:r w:rsidR="00F753A5">
        <w:t xml:space="preserve">trends can </w:t>
      </w:r>
      <w:r w:rsidR="00206AC6">
        <w:t>be identified</w:t>
      </w:r>
      <w:r w:rsidR="00F753A5">
        <w:t xml:space="preserve">.  </w:t>
      </w:r>
      <w:r w:rsidR="00415F50">
        <w:t xml:space="preserve">Following are some key </w:t>
      </w:r>
      <w:r w:rsidR="00442CFB">
        <w:t>performance indicators (KPIs) that are typically calculated and tracked by providers to manage their accounts receivable:</w:t>
      </w:r>
    </w:p>
    <w:p w14:paraId="75AE9BFA" w14:textId="78C10559" w:rsidR="00442CFB" w:rsidRDefault="00442CFB" w:rsidP="00442CFB">
      <w:pPr>
        <w:spacing w:after="0"/>
        <w:jc w:val="both"/>
      </w:pPr>
    </w:p>
    <w:p w14:paraId="12D1FDBA" w14:textId="20353F3A" w:rsidR="00CF5605" w:rsidRDefault="00495ADC" w:rsidP="00894592">
      <w:pPr>
        <w:pStyle w:val="ListParagraph"/>
        <w:numPr>
          <w:ilvl w:val="0"/>
          <w:numId w:val="5"/>
        </w:numPr>
        <w:spacing w:after="0"/>
        <w:jc w:val="both"/>
      </w:pPr>
      <w:r w:rsidRPr="00251487">
        <w:rPr>
          <w:b/>
          <w:bCs/>
        </w:rPr>
        <w:lastRenderedPageBreak/>
        <w:t xml:space="preserve">Average </w:t>
      </w:r>
      <w:r w:rsidR="004B7494" w:rsidRPr="00251487">
        <w:rPr>
          <w:b/>
          <w:bCs/>
        </w:rPr>
        <w:t xml:space="preserve">number of days </w:t>
      </w:r>
      <w:r w:rsidR="003A2245" w:rsidRPr="00251487">
        <w:rPr>
          <w:b/>
          <w:bCs/>
        </w:rPr>
        <w:t>in accounts receivable (unpaid)</w:t>
      </w:r>
      <w:r w:rsidR="003A2245">
        <w:t xml:space="preserve"> </w:t>
      </w:r>
      <w:r w:rsidR="000602DA">
        <w:t>–</w:t>
      </w:r>
      <w:r w:rsidR="003A2245">
        <w:t xml:space="preserve"> </w:t>
      </w:r>
      <w:r w:rsidR="00540D5F">
        <w:t>T</w:t>
      </w:r>
      <w:r w:rsidR="000602DA">
        <w:t>his tells you the average length of time it takes for a claim to be paid</w:t>
      </w:r>
      <w:r w:rsidR="00D001F5">
        <w:t xml:space="preserve"> (receivables collected)</w:t>
      </w:r>
      <w:r w:rsidR="000602DA">
        <w:t>.</w:t>
      </w:r>
      <w:r w:rsidR="004466E1">
        <w:t xml:space="preserve">  </w:t>
      </w:r>
      <w:r w:rsidR="00A61357">
        <w:t xml:space="preserve">The calculation is </w:t>
      </w:r>
      <w:r w:rsidR="00E520A5">
        <w:t xml:space="preserve">net </w:t>
      </w:r>
      <w:r w:rsidR="00C473F0">
        <w:t xml:space="preserve">patients </w:t>
      </w:r>
      <w:r w:rsidR="00A61357">
        <w:t xml:space="preserve">accounts </w:t>
      </w:r>
      <w:r w:rsidR="003D23C6">
        <w:t>receivable</w:t>
      </w:r>
      <w:r w:rsidR="007A665D">
        <w:t xml:space="preserve"> within a </w:t>
      </w:r>
      <w:r w:rsidR="00C473F0">
        <w:t xml:space="preserve">specified </w:t>
      </w:r>
      <w:r w:rsidR="007A665D">
        <w:t xml:space="preserve">period </w:t>
      </w:r>
      <w:r w:rsidR="000F4899">
        <w:t xml:space="preserve">from the balance sheet </w:t>
      </w:r>
      <w:r w:rsidR="003D23C6">
        <w:t>divide</w:t>
      </w:r>
      <w:r w:rsidR="00B649F4">
        <w:t>d</w:t>
      </w:r>
      <w:r w:rsidR="003D23C6">
        <w:t xml:space="preserve"> by average daily </w:t>
      </w:r>
      <w:r w:rsidR="00C473F0">
        <w:t>net patient service revenue</w:t>
      </w:r>
      <w:r w:rsidR="003D23C6">
        <w:t xml:space="preserve"> </w:t>
      </w:r>
      <w:r w:rsidR="007A665D">
        <w:t xml:space="preserve">within that period </w:t>
      </w:r>
      <w:r w:rsidR="000F4899">
        <w:t xml:space="preserve">from the income statement </w:t>
      </w:r>
      <w:r w:rsidR="003D23C6">
        <w:t xml:space="preserve">(total charges divided by </w:t>
      </w:r>
      <w:r w:rsidR="007A665D">
        <w:t>total number of</w:t>
      </w:r>
      <w:r w:rsidR="003D23C6">
        <w:t xml:space="preserve"> days).  </w:t>
      </w:r>
      <w:r w:rsidR="00FB5798">
        <w:t>The target should be 30 to 40 days for a practice</w:t>
      </w:r>
      <w:r w:rsidR="000B2BBC">
        <w:t xml:space="preserve">, </w:t>
      </w:r>
      <w:r w:rsidR="001803CA">
        <w:t xml:space="preserve">and 40 to 45 days for a hospital.  If the number is </w:t>
      </w:r>
      <w:r w:rsidR="000B2BBC">
        <w:t xml:space="preserve">high, </w:t>
      </w:r>
      <w:r w:rsidR="001803CA">
        <w:t xml:space="preserve">the provider </w:t>
      </w:r>
      <w:r w:rsidR="000B2BBC">
        <w:t>should be looking for decreasing trend in days over time</w:t>
      </w:r>
      <w:r w:rsidR="00FB5798">
        <w:t xml:space="preserve">.  </w:t>
      </w:r>
      <w:r w:rsidR="002713E6">
        <w:t>You can also calculate the A/R days by specific payer to evaluate the collection effectiveness by pa</w:t>
      </w:r>
      <w:r w:rsidR="000B2BBC">
        <w:t>yer (or self</w:t>
      </w:r>
      <w:r w:rsidR="00C473F0">
        <w:t>-</w:t>
      </w:r>
      <w:r w:rsidR="000B2BBC">
        <w:t>pay patients).</w:t>
      </w:r>
      <w:r w:rsidR="000602DA">
        <w:t xml:space="preserve">  </w:t>
      </w:r>
      <w:r w:rsidR="00FA0CF8">
        <w:t xml:space="preserve"> </w:t>
      </w:r>
    </w:p>
    <w:p w14:paraId="35C763F2" w14:textId="49E4FF33" w:rsidR="006949AD" w:rsidRDefault="006949AD" w:rsidP="006949AD">
      <w:pPr>
        <w:spacing w:after="0"/>
        <w:ind w:left="360"/>
        <w:jc w:val="both"/>
      </w:pPr>
    </w:p>
    <w:p w14:paraId="766C6AEE" w14:textId="1FB60950" w:rsidR="0029474B" w:rsidRDefault="0029474B" w:rsidP="0029474B">
      <w:pPr>
        <w:spacing w:after="0"/>
        <w:ind w:left="720"/>
        <w:jc w:val="both"/>
      </w:pPr>
      <w:r w:rsidRPr="0029474B">
        <w:t xml:space="preserve">Example:   A Chicago hospital charged an average of $10M per month for the last 12 months and has a total of $15M in Accounts Receivable for the same </w:t>
      </w:r>
      <w:proofErr w:type="gramStart"/>
      <w:r w:rsidRPr="0029474B">
        <w:t>time period</w:t>
      </w:r>
      <w:proofErr w:type="gramEnd"/>
      <w:r w:rsidRPr="0029474B">
        <w:t>.  The average days in A/R is:</w:t>
      </w:r>
    </w:p>
    <w:p w14:paraId="25900533" w14:textId="153990AA" w:rsidR="0029474B" w:rsidRDefault="00206AC6" w:rsidP="0029474B">
      <w:pPr>
        <w:spacing w:after="0"/>
        <w:ind w:left="720"/>
        <w:jc w:val="both"/>
      </w:pPr>
      <w:r w:rsidRPr="00DF48C5">
        <w:rPr>
          <w:noProof/>
        </w:rPr>
        <mc:AlternateContent>
          <mc:Choice Requires="wps">
            <w:drawing>
              <wp:anchor distT="0" distB="0" distL="114300" distR="114300" simplePos="0" relativeHeight="251666432" behindDoc="0" locked="0" layoutInCell="1" allowOverlap="1" wp14:anchorId="7ADC5BEB" wp14:editId="5C6F7A4F">
                <wp:simplePos x="0" y="0"/>
                <wp:positionH relativeFrom="margin">
                  <wp:align>center</wp:align>
                </wp:positionH>
                <wp:positionV relativeFrom="paragraph">
                  <wp:posOffset>1905</wp:posOffset>
                </wp:positionV>
                <wp:extent cx="4986301" cy="646331"/>
                <wp:effectExtent l="0" t="0" r="0" b="0"/>
                <wp:wrapNone/>
                <wp:docPr id="13" name="TextBox 12">
                  <a:extLst xmlns:a="http://schemas.openxmlformats.org/drawingml/2006/main">
                    <a:ext uri="{FF2B5EF4-FFF2-40B4-BE49-F238E27FC236}">
                      <a16:creationId xmlns:a16="http://schemas.microsoft.com/office/drawing/2014/main" id="{B3EFB445-B363-4D58-BD8A-21E8F50D32B3}"/>
                    </a:ext>
                  </a:extLst>
                </wp:docPr>
                <wp:cNvGraphicFramePr/>
                <a:graphic xmlns:a="http://schemas.openxmlformats.org/drawingml/2006/main">
                  <a:graphicData uri="http://schemas.microsoft.com/office/word/2010/wordprocessingShape">
                    <wps:wsp>
                      <wps:cNvSpPr txBox="1"/>
                      <wps:spPr>
                        <a:xfrm>
                          <a:off x="0" y="0"/>
                          <a:ext cx="4986301" cy="646331"/>
                        </a:xfrm>
                        <a:prstGeom prst="rect">
                          <a:avLst/>
                        </a:prstGeom>
                        <a:noFill/>
                      </wps:spPr>
                      <wps:txbx>
                        <w:txbxContent>
                          <w:p w14:paraId="4ACB619A" w14:textId="506DF428" w:rsidR="00DF48C5" w:rsidRPr="00DF48C5" w:rsidRDefault="00DF48C5" w:rsidP="00DF48C5">
                            <w:pPr>
                              <w:spacing w:after="0"/>
                              <w:jc w:val="center"/>
                              <w:rPr>
                                <w:sz w:val="16"/>
                                <w:szCs w:val="16"/>
                              </w:rPr>
                            </w:pPr>
                            <w:r w:rsidRPr="00DF48C5">
                              <w:rPr>
                                <w:rFonts w:hAnsi="Calibri"/>
                                <w:color w:val="000000" w:themeColor="text1"/>
                                <w:kern w:val="24"/>
                                <w:u w:val="single"/>
                              </w:rPr>
                              <w:t>$15,000,000__</w:t>
                            </w:r>
                          </w:p>
                          <w:p w14:paraId="776C1FD7" w14:textId="55772D2B" w:rsidR="00DF48C5" w:rsidRPr="00DF48C5" w:rsidRDefault="00DF48C5" w:rsidP="00DF48C5">
                            <w:pPr>
                              <w:jc w:val="center"/>
                              <w:rPr>
                                <w:sz w:val="14"/>
                                <w:szCs w:val="14"/>
                              </w:rPr>
                            </w:pPr>
                            <w:r w:rsidRPr="00DF48C5">
                              <w:rPr>
                                <w:rFonts w:hAnsi="Calibri"/>
                                <w:color w:val="000000" w:themeColor="text1"/>
                                <w:kern w:val="24"/>
                              </w:rPr>
                              <w:t>=</w:t>
                            </w:r>
                            <w:r w:rsidRPr="00DF48C5">
                              <w:rPr>
                                <w:rFonts w:hAnsi="Calibri"/>
                                <w:color w:val="000000" w:themeColor="text1"/>
                                <w:kern w:val="24"/>
                              </w:rPr>
                              <w:tab/>
                            </w:r>
                            <w:r>
                              <w:rPr>
                                <w:rFonts w:hAnsi="Calibri"/>
                                <w:color w:val="000000" w:themeColor="text1"/>
                                <w:kern w:val="24"/>
                              </w:rPr>
                              <w:t xml:space="preserve">             </w:t>
                            </w:r>
                            <w:proofErr w:type="gramStart"/>
                            <w:r>
                              <w:rPr>
                                <w:rFonts w:hAnsi="Calibri"/>
                                <w:color w:val="000000" w:themeColor="text1"/>
                                <w:kern w:val="24"/>
                              </w:rPr>
                              <w:t xml:space="preserve">   </w:t>
                            </w:r>
                            <w:r w:rsidRPr="00DF48C5">
                              <w:rPr>
                                <w:rFonts w:hAnsi="Calibri"/>
                                <w:color w:val="000000" w:themeColor="text1"/>
                                <w:kern w:val="24"/>
                              </w:rPr>
                              <w:t>(</w:t>
                            </w:r>
                            <w:proofErr w:type="gramEnd"/>
                            <w:r w:rsidRPr="00DF48C5">
                              <w:rPr>
                                <w:rFonts w:hAnsi="Calibri"/>
                                <w:color w:val="000000" w:themeColor="text1"/>
                                <w:kern w:val="24"/>
                              </w:rPr>
                              <w:t xml:space="preserve">$10M * 12) / 365     = </w:t>
                            </w:r>
                            <w:r w:rsidRPr="00DF48C5">
                              <w:rPr>
                                <w:rFonts w:hAnsi="Calibri"/>
                                <w:color w:val="000000" w:themeColor="text1"/>
                                <w:kern w:val="24"/>
                              </w:rPr>
                              <w:tab/>
                            </w:r>
                            <w:r w:rsidRPr="00DF48C5">
                              <w:rPr>
                                <w:rFonts w:hAnsi="Calibri"/>
                                <w:color w:val="000000" w:themeColor="text1"/>
                                <w:kern w:val="24"/>
                              </w:rPr>
                              <w:tab/>
                              <w:t>45</w:t>
                            </w:r>
                          </w:p>
                        </w:txbxContent>
                      </wps:txbx>
                      <wps:bodyPr wrap="square" rtlCol="0">
                        <a:spAutoFit/>
                      </wps:bodyPr>
                    </wps:wsp>
                  </a:graphicData>
                </a:graphic>
              </wp:anchor>
            </w:drawing>
          </mc:Choice>
          <mc:Fallback>
            <w:pict>
              <v:shape w14:anchorId="7ADC5BEB" id="TextBox 12" o:spid="_x0000_s1031" type="#_x0000_t202" style="position:absolute;left:0;text-align:left;margin-left:0;margin-top:.15pt;width:392.6pt;height:50.9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" filled="f" stroked="f">
                <v:textbox style="mso-fit-shape-to-text:t">
                  <w:txbxContent>
                    <w:p w14:paraId="4ACB619A" w14:textId="506DF428" w:rsidR="00DF48C5" w:rsidRPr="00DF48C5" w:rsidRDefault="00DF48C5" w:rsidP="00DF48C5">
                      <w:pPr>
                        <w:spacing w:after="0"/>
                        <w:jc w:val="center"/>
                        <w:rPr>
                          <w:sz w:val="16"/>
                          <w:szCs w:val="16"/>
                        </w:rPr>
                      </w:pPr>
                      <w:r w:rsidRPr="00DF48C5">
                        <w:rPr>
                          <w:rFonts w:hAnsi="Calibri"/>
                          <w:color w:val="000000" w:themeColor="text1"/>
                          <w:kern w:val="24"/>
                          <w:u w:val="single"/>
                        </w:rPr>
                        <w:t>$15,000,000__</w:t>
                      </w:r>
                    </w:p>
                    <w:p w14:paraId="776C1FD7" w14:textId="55772D2B" w:rsidR="00DF48C5" w:rsidRPr="00DF48C5" w:rsidRDefault="00DF48C5" w:rsidP="00DF48C5">
                      <w:pPr>
                        <w:jc w:val="center"/>
                        <w:rPr>
                          <w:sz w:val="14"/>
                          <w:szCs w:val="14"/>
                        </w:rPr>
                      </w:pPr>
                      <w:r w:rsidRPr="00DF48C5">
                        <w:rPr>
                          <w:rFonts w:hAnsi="Calibri"/>
                          <w:color w:val="000000" w:themeColor="text1"/>
                          <w:kern w:val="24"/>
                        </w:rPr>
                        <w:t>=</w:t>
                      </w:r>
                      <w:r w:rsidRPr="00DF48C5">
                        <w:rPr>
                          <w:rFonts w:hAnsi="Calibri"/>
                          <w:color w:val="000000" w:themeColor="text1"/>
                          <w:kern w:val="24"/>
                        </w:rPr>
                        <w:tab/>
                      </w:r>
                      <w:r>
                        <w:rPr>
                          <w:rFonts w:hAnsi="Calibri"/>
                          <w:color w:val="000000" w:themeColor="text1"/>
                          <w:kern w:val="24"/>
                        </w:rPr>
                        <w:t xml:space="preserve">             </w:t>
                      </w:r>
                      <w:proofErr w:type="gramStart"/>
                      <w:r>
                        <w:rPr>
                          <w:rFonts w:hAnsi="Calibri"/>
                          <w:color w:val="000000" w:themeColor="text1"/>
                          <w:kern w:val="24"/>
                        </w:rPr>
                        <w:t xml:space="preserve">   </w:t>
                      </w:r>
                      <w:r w:rsidRPr="00DF48C5">
                        <w:rPr>
                          <w:rFonts w:hAnsi="Calibri"/>
                          <w:color w:val="000000" w:themeColor="text1"/>
                          <w:kern w:val="24"/>
                        </w:rPr>
                        <w:t>(</w:t>
                      </w:r>
                      <w:proofErr w:type="gramEnd"/>
                      <w:r w:rsidRPr="00DF48C5">
                        <w:rPr>
                          <w:rFonts w:hAnsi="Calibri"/>
                          <w:color w:val="000000" w:themeColor="text1"/>
                          <w:kern w:val="24"/>
                        </w:rPr>
                        <w:t xml:space="preserve">$10M * 12) / 365     = </w:t>
                      </w:r>
                      <w:r w:rsidRPr="00DF48C5">
                        <w:rPr>
                          <w:rFonts w:hAnsi="Calibri"/>
                          <w:color w:val="000000" w:themeColor="text1"/>
                          <w:kern w:val="24"/>
                        </w:rPr>
                        <w:tab/>
                      </w:r>
                      <w:r w:rsidRPr="00DF48C5">
                        <w:rPr>
                          <w:rFonts w:hAnsi="Calibri"/>
                          <w:color w:val="000000" w:themeColor="text1"/>
                          <w:kern w:val="24"/>
                        </w:rPr>
                        <w:tab/>
                        <w:t>45</w:t>
                      </w:r>
                    </w:p>
                  </w:txbxContent>
                </v:textbox>
                <w10:wrap anchorx="margin"/>
              </v:shape>
            </w:pict>
          </mc:Fallback>
        </mc:AlternateContent>
      </w:r>
    </w:p>
    <w:p w14:paraId="0795AB61" w14:textId="68A82252" w:rsidR="0029474B" w:rsidRPr="0029474B" w:rsidRDefault="0029474B" w:rsidP="0029474B">
      <w:pPr>
        <w:spacing w:after="0"/>
        <w:ind w:left="720"/>
        <w:jc w:val="both"/>
      </w:pPr>
    </w:p>
    <w:p w14:paraId="711F1586" w14:textId="77777777" w:rsidR="006949AD" w:rsidRDefault="006949AD" w:rsidP="0029474B">
      <w:pPr>
        <w:spacing w:after="0"/>
        <w:ind w:left="720"/>
        <w:jc w:val="both"/>
      </w:pPr>
    </w:p>
    <w:p w14:paraId="1F611ED7" w14:textId="09879BCD" w:rsidR="00214D32" w:rsidRDefault="001A43F7" w:rsidP="00894592">
      <w:pPr>
        <w:pStyle w:val="ListParagraph"/>
        <w:numPr>
          <w:ilvl w:val="0"/>
          <w:numId w:val="5"/>
        </w:numPr>
        <w:spacing w:after="0"/>
        <w:jc w:val="both"/>
      </w:pPr>
      <w:r w:rsidRPr="0037341E">
        <w:rPr>
          <w:b/>
          <w:bCs/>
        </w:rPr>
        <w:t>Cash collected as a percentage of net revenue</w:t>
      </w:r>
      <w:r>
        <w:t xml:space="preserve"> </w:t>
      </w:r>
      <w:r w:rsidR="0037341E">
        <w:t>–</w:t>
      </w:r>
      <w:r>
        <w:t xml:space="preserve"> </w:t>
      </w:r>
      <w:r w:rsidR="0037341E">
        <w:t xml:space="preserve">or </w:t>
      </w:r>
      <w:r w:rsidR="00214D32">
        <w:t xml:space="preserve">Net collections </w:t>
      </w:r>
      <w:r w:rsidR="0037341E">
        <w:t>rate</w:t>
      </w:r>
      <w:r w:rsidR="00214D32">
        <w:t xml:space="preserve"> </w:t>
      </w:r>
      <w:r w:rsidR="00FA0CF8">
        <w:t>(percent collected out of total allowed amount)</w:t>
      </w:r>
      <w:r w:rsidR="006E43D5">
        <w:t xml:space="preserve"> </w:t>
      </w:r>
      <w:r w:rsidR="00FC069A">
        <w:t>–</w:t>
      </w:r>
      <w:r w:rsidR="006E43D5">
        <w:t xml:space="preserve"> </w:t>
      </w:r>
      <w:r w:rsidR="00231524">
        <w:t>Cash collected in a period divided by the net revenue</w:t>
      </w:r>
      <w:r w:rsidR="00251FDF">
        <w:t xml:space="preserve"> (amount charged)</w:t>
      </w:r>
      <w:r w:rsidR="00231524">
        <w:t xml:space="preserve"> for the period.  T</w:t>
      </w:r>
      <w:r w:rsidR="00FC069A">
        <w:t>his</w:t>
      </w:r>
      <w:r w:rsidR="00B54A83">
        <w:t xml:space="preserve"> ratio gives an indication of the effectiveness and success with collecting revenue</w:t>
      </w:r>
      <w:r w:rsidR="00E45268">
        <w:t xml:space="preserve"> (and avoiding write-offs and bad debt).  </w:t>
      </w:r>
      <w:r w:rsidR="003523BA">
        <w:t xml:space="preserve">It can also be split between payer and patient collectibles, </w:t>
      </w:r>
      <w:r w:rsidR="00BB0AA5">
        <w:t>as the reasons for non</w:t>
      </w:r>
      <w:r w:rsidR="001D7F9C">
        <w:t>-</w:t>
      </w:r>
      <w:r w:rsidR="00BB0AA5">
        <w:t xml:space="preserve">payment </w:t>
      </w:r>
      <w:r w:rsidR="00251FDF">
        <w:t>may</w:t>
      </w:r>
      <w:r w:rsidR="00BB0AA5">
        <w:t xml:space="preserve"> not be the same (</w:t>
      </w:r>
      <w:r w:rsidR="00EE3DC7">
        <w:t>eligibility for payment vs. ability to pay)</w:t>
      </w:r>
      <w:r w:rsidR="00BB0AA5">
        <w:t xml:space="preserve"> and should be treated </w:t>
      </w:r>
      <w:r w:rsidR="00EE3DC7">
        <w:t>differently.</w:t>
      </w:r>
      <w:r w:rsidR="00231524">
        <w:t xml:space="preserve">  Best practice is 95% or better; </w:t>
      </w:r>
      <w:r w:rsidR="007703AA">
        <w:t>comparing net collection by payer can also identify problem areas or payers and signal process improvement opportunities.</w:t>
      </w:r>
    </w:p>
    <w:p w14:paraId="0D856C89" w14:textId="123F2FAC" w:rsidR="00BC7A2C" w:rsidRDefault="00BC7A2C" w:rsidP="00BC7A2C">
      <w:pPr>
        <w:spacing w:after="0"/>
        <w:jc w:val="both"/>
      </w:pPr>
    </w:p>
    <w:p w14:paraId="26741BE2" w14:textId="40FF9C48" w:rsidR="006F0D1E" w:rsidRDefault="00BC7A2C" w:rsidP="006F0D1E">
      <w:pPr>
        <w:spacing w:after="0"/>
        <w:ind w:left="720"/>
        <w:jc w:val="both"/>
      </w:pPr>
      <w:r w:rsidRPr="00BC7A2C">
        <w:t>Example:   The same hospital collected $8.5M last month against the $10M in charges.  The percent cash collected is:</w:t>
      </w:r>
    </w:p>
    <w:p w14:paraId="22A9FCA9" w14:textId="2D2B5DC6" w:rsidR="00BC7A2C" w:rsidRDefault="00091F69" w:rsidP="00BC7A2C">
      <w:pPr>
        <w:spacing w:after="0"/>
        <w:ind w:left="720"/>
        <w:jc w:val="both"/>
      </w:pPr>
      <w:r w:rsidRPr="00091F69">
        <w:rPr>
          <w:noProof/>
        </w:rPr>
        <mc:AlternateContent>
          <mc:Choice Requires="wps">
            <w:drawing>
              <wp:anchor distT="0" distB="0" distL="114300" distR="114300" simplePos="0" relativeHeight="251668480" behindDoc="0" locked="0" layoutInCell="1" allowOverlap="1" wp14:anchorId="54113D35" wp14:editId="51BDEFFC">
                <wp:simplePos x="0" y="0"/>
                <wp:positionH relativeFrom="margin">
                  <wp:align>center</wp:align>
                </wp:positionH>
                <wp:positionV relativeFrom="paragraph">
                  <wp:posOffset>7883</wp:posOffset>
                </wp:positionV>
                <wp:extent cx="4986020" cy="594995"/>
                <wp:effectExtent l="0" t="0" r="0" b="0"/>
                <wp:wrapSquare wrapText="bothSides"/>
                <wp:docPr id="12" name="TextBox 3"/>
                <wp:cNvGraphicFramePr/>
                <a:graphic xmlns:a="http://schemas.openxmlformats.org/drawingml/2006/main">
                  <a:graphicData uri="http://schemas.microsoft.com/office/word/2010/wordprocessingShape">
                    <wps:wsp>
                      <wps:cNvSpPr txBox="1"/>
                      <wps:spPr>
                        <a:xfrm>
                          <a:off x="0" y="0"/>
                          <a:ext cx="4986020" cy="594995"/>
                        </a:xfrm>
                        <a:prstGeom prst="rect">
                          <a:avLst/>
                        </a:prstGeom>
                        <a:noFill/>
                      </wps:spPr>
                      <wps:txbx>
                        <w:txbxContent>
                          <w:p w14:paraId="2C842E8A" w14:textId="32F0844F" w:rsidR="00091F69" w:rsidRPr="00091F69" w:rsidRDefault="006F0D1E" w:rsidP="00091F69">
                            <w:pPr>
                              <w:spacing w:after="0"/>
                              <w:ind w:left="1440" w:firstLine="720"/>
                              <w:rPr>
                                <w:sz w:val="16"/>
                                <w:szCs w:val="16"/>
                              </w:rPr>
                            </w:pPr>
                            <w:r w:rsidRPr="006F0D1E">
                              <w:rPr>
                                <w:rFonts w:hAnsi="Calibri"/>
                                <w:color w:val="000000" w:themeColor="text1"/>
                                <w:kern w:val="24"/>
                              </w:rPr>
                              <w:t xml:space="preserve">      </w:t>
                            </w:r>
                            <w:r w:rsidR="00091F69" w:rsidRPr="00091F69">
                              <w:rPr>
                                <w:rFonts w:hAnsi="Calibri"/>
                                <w:color w:val="000000" w:themeColor="text1"/>
                                <w:kern w:val="24"/>
                                <w:u w:val="single"/>
                              </w:rPr>
                              <w:t>$8,500,000</w:t>
                            </w:r>
                          </w:p>
                          <w:p w14:paraId="65FA2192" w14:textId="13CDD3DA" w:rsidR="00091F69" w:rsidRPr="00091F69" w:rsidRDefault="00091F69" w:rsidP="00091F69">
                            <w:pPr>
                              <w:jc w:val="center"/>
                              <w:rPr>
                                <w:sz w:val="14"/>
                                <w:szCs w:val="14"/>
                              </w:rPr>
                            </w:pPr>
                            <w:r w:rsidRPr="00091F69">
                              <w:rPr>
                                <w:rFonts w:hAnsi="Calibri"/>
                                <w:color w:val="000000" w:themeColor="text1"/>
                                <w:kern w:val="24"/>
                              </w:rPr>
                              <w:t xml:space="preserve">= </w:t>
                            </w:r>
                            <w:r>
                              <w:rPr>
                                <w:rFonts w:hAnsi="Calibri"/>
                                <w:color w:val="000000" w:themeColor="text1"/>
                                <w:kern w:val="24"/>
                              </w:rPr>
                              <w:t xml:space="preserve"> </w:t>
                            </w:r>
                            <w:r w:rsidRPr="00091F69">
                              <w:rPr>
                                <w:rFonts w:hAnsi="Calibri"/>
                                <w:color w:val="000000" w:themeColor="text1"/>
                                <w:kern w:val="24"/>
                              </w:rPr>
                              <w:t xml:space="preserve"> $10,000,000 </w:t>
                            </w:r>
                            <w:r w:rsidRPr="00091F69">
                              <w:rPr>
                                <w:rFonts w:hAnsi="Calibri"/>
                                <w:color w:val="000000" w:themeColor="text1"/>
                                <w:kern w:val="24"/>
                              </w:rPr>
                              <w:tab/>
                              <w:t xml:space="preserve">= </w:t>
                            </w:r>
                            <w:r w:rsidRPr="00091F69">
                              <w:rPr>
                                <w:rFonts w:hAnsi="Calibri"/>
                                <w:color w:val="000000" w:themeColor="text1"/>
                                <w:kern w:val="24"/>
                              </w:rPr>
                              <w:tab/>
                            </w:r>
                            <w:r w:rsidRPr="00091F69">
                              <w:rPr>
                                <w:rFonts w:hAnsi="Calibri"/>
                                <w:color w:val="000000" w:themeColor="text1"/>
                                <w:kern w:val="24"/>
                              </w:rPr>
                              <w:tab/>
                              <w:t>85%</w:t>
                            </w:r>
                          </w:p>
                          <w:p w14:paraId="47E6DC25" w14:textId="062F0566" w:rsidR="00091F69" w:rsidRPr="00091F69" w:rsidRDefault="00091F69" w:rsidP="00091F69">
                            <w:pPr>
                              <w:jc w:val="center"/>
                              <w:rPr>
                                <w:sz w:val="14"/>
                                <w:szCs w:val="14"/>
                              </w:rPr>
                            </w:pPr>
                          </w:p>
                        </w:txbxContent>
                      </wps:txbx>
                      <wps:bodyPr wrap="square" rtlCol="0">
                        <a:noAutofit/>
                      </wps:bodyPr>
                    </wps:wsp>
                  </a:graphicData>
                </a:graphic>
                <wp14:sizeRelV relativeFrom="margin">
                  <wp14:pctHeight>0</wp14:pctHeight>
                </wp14:sizeRelV>
              </wp:anchor>
            </w:drawing>
          </mc:Choice>
          <mc:Fallback>
            <w:pict>
              <v:shape w14:anchorId="54113D35" id="TextBox 3" o:spid="_x0000_s1032" type="#_x0000_t202" style="position:absolute;left:0;text-align:left;margin-left:0;margin-top:.6pt;width:392.6pt;height:46.85pt;z-index:251668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" filled="f" stroked="f">
                <v:textbox>
                  <w:txbxContent>
                    <w:p w14:paraId="2C842E8A" w14:textId="32F0844F" w:rsidR="00091F69" w:rsidRPr="00091F69" w:rsidRDefault="006F0D1E" w:rsidP="00091F69">
                      <w:pPr>
                        <w:spacing w:after="0"/>
                        <w:ind w:left="1440" w:firstLine="720"/>
                        <w:rPr>
                          <w:sz w:val="16"/>
                          <w:szCs w:val="16"/>
                        </w:rPr>
                      </w:pPr>
                      <w:r w:rsidRPr="006F0D1E">
                        <w:rPr>
                          <w:rFonts w:hAnsi="Calibri"/>
                          <w:color w:val="000000" w:themeColor="text1"/>
                          <w:kern w:val="24"/>
                        </w:rPr>
                        <w:t xml:space="preserve">      </w:t>
                      </w:r>
                      <w:r w:rsidR="00091F69" w:rsidRPr="00091F69">
                        <w:rPr>
                          <w:rFonts w:hAnsi="Calibri"/>
                          <w:color w:val="000000" w:themeColor="text1"/>
                          <w:kern w:val="24"/>
                          <w:u w:val="single"/>
                        </w:rPr>
                        <w:t>$8,500,000</w:t>
                      </w:r>
                    </w:p>
                    <w:p w14:paraId="65FA2192" w14:textId="13CDD3DA" w:rsidR="00091F69" w:rsidRPr="00091F69" w:rsidRDefault="00091F69" w:rsidP="00091F69">
                      <w:pPr>
                        <w:jc w:val="center"/>
                        <w:rPr>
                          <w:sz w:val="14"/>
                          <w:szCs w:val="14"/>
                        </w:rPr>
                      </w:pPr>
                      <w:r w:rsidRPr="00091F69">
                        <w:rPr>
                          <w:rFonts w:hAnsi="Calibri"/>
                          <w:color w:val="000000" w:themeColor="text1"/>
                          <w:kern w:val="24"/>
                        </w:rPr>
                        <w:t xml:space="preserve">= </w:t>
                      </w:r>
                      <w:r>
                        <w:rPr>
                          <w:rFonts w:hAnsi="Calibri"/>
                          <w:color w:val="000000" w:themeColor="text1"/>
                          <w:kern w:val="24"/>
                        </w:rPr>
                        <w:t xml:space="preserve"> </w:t>
                      </w:r>
                      <w:r w:rsidRPr="00091F69">
                        <w:rPr>
                          <w:rFonts w:hAnsi="Calibri"/>
                          <w:color w:val="000000" w:themeColor="text1"/>
                          <w:kern w:val="24"/>
                        </w:rPr>
                        <w:t xml:space="preserve"> $10,000,000 </w:t>
                      </w:r>
                      <w:r w:rsidRPr="00091F69">
                        <w:rPr>
                          <w:rFonts w:hAnsi="Calibri"/>
                          <w:color w:val="000000" w:themeColor="text1"/>
                          <w:kern w:val="24"/>
                        </w:rPr>
                        <w:tab/>
                        <w:t xml:space="preserve">= </w:t>
                      </w:r>
                      <w:r w:rsidRPr="00091F69">
                        <w:rPr>
                          <w:rFonts w:hAnsi="Calibri"/>
                          <w:color w:val="000000" w:themeColor="text1"/>
                          <w:kern w:val="24"/>
                        </w:rPr>
                        <w:tab/>
                      </w:r>
                      <w:r w:rsidRPr="00091F69">
                        <w:rPr>
                          <w:rFonts w:hAnsi="Calibri"/>
                          <w:color w:val="000000" w:themeColor="text1"/>
                          <w:kern w:val="24"/>
                        </w:rPr>
                        <w:tab/>
                        <w:t>85%</w:t>
                      </w:r>
                    </w:p>
                    <w:p w14:paraId="47E6DC25" w14:textId="062F0566" w:rsidR="00091F69" w:rsidRPr="00091F69" w:rsidRDefault="00091F69" w:rsidP="00091F69">
                      <w:pPr>
                        <w:jc w:val="center"/>
                        <w:rPr>
                          <w:sz w:val="14"/>
                          <w:szCs w:val="14"/>
                        </w:rPr>
                      </w:pPr>
                    </w:p>
                  </w:txbxContent>
                </v:textbox>
                <w10:wrap type="square" anchorx="margin"/>
              </v:shape>
            </w:pict>
          </mc:Fallback>
        </mc:AlternateContent>
      </w:r>
    </w:p>
    <w:p w14:paraId="5A760360" w14:textId="77777777" w:rsidR="00BC7A2C" w:rsidRDefault="00BC7A2C" w:rsidP="00BC7A2C">
      <w:pPr>
        <w:spacing w:after="0"/>
        <w:ind w:left="720"/>
        <w:jc w:val="both"/>
      </w:pPr>
    </w:p>
    <w:p w14:paraId="15DE7610" w14:textId="77777777" w:rsidR="006F0D1E" w:rsidRPr="006F0D1E" w:rsidRDefault="006F0D1E" w:rsidP="006F0D1E">
      <w:pPr>
        <w:spacing w:after="0"/>
        <w:ind w:left="360"/>
        <w:jc w:val="both"/>
      </w:pPr>
    </w:p>
    <w:p w14:paraId="06DF2F6C" w14:textId="77777777" w:rsidR="006F0D1E" w:rsidRPr="006F0D1E" w:rsidRDefault="006F0D1E" w:rsidP="006F0D1E">
      <w:pPr>
        <w:spacing w:after="0"/>
        <w:ind w:left="360"/>
        <w:jc w:val="both"/>
      </w:pPr>
    </w:p>
    <w:p w14:paraId="3881C78D" w14:textId="7C0ACF70" w:rsidR="00EF3589" w:rsidRDefault="00EF3589" w:rsidP="00894592">
      <w:pPr>
        <w:pStyle w:val="ListParagraph"/>
        <w:numPr>
          <w:ilvl w:val="0"/>
          <w:numId w:val="5"/>
        </w:numPr>
        <w:spacing w:after="0"/>
        <w:jc w:val="both"/>
      </w:pPr>
      <w:r w:rsidRPr="00006598">
        <w:rPr>
          <w:b/>
          <w:bCs/>
        </w:rPr>
        <w:t>Percentage of claims collected less than 60 days from billing</w:t>
      </w:r>
      <w:r w:rsidR="00C262A1">
        <w:t xml:space="preserve"> </w:t>
      </w:r>
      <w:r w:rsidR="003E4305">
        <w:t>–</w:t>
      </w:r>
      <w:r w:rsidR="00C262A1">
        <w:t xml:space="preserve"> </w:t>
      </w:r>
      <w:r w:rsidR="00337FC0">
        <w:t>M</w:t>
      </w:r>
      <w:r w:rsidR="003E4305">
        <w:t xml:space="preserve">anaging this </w:t>
      </w:r>
      <w:r w:rsidR="005313DB">
        <w:t xml:space="preserve">metric is key </w:t>
      </w:r>
      <w:r w:rsidR="00393E84">
        <w:t xml:space="preserve">as the more quickly claims are filed and paid, the more efficient the revenue cycle.  </w:t>
      </w:r>
      <w:r w:rsidR="00337FC0">
        <w:t xml:space="preserve">The calculation is the total </w:t>
      </w:r>
      <w:r w:rsidR="00487FA5">
        <w:t>claims collected/paid within 60 days divided by the total number of claims filed in that period.  A</w:t>
      </w:r>
      <w:r w:rsidR="0019174E">
        <w:t>s proven in many cases, the longer the days in AR, the less likelihood of ever receiving payment</w:t>
      </w:r>
      <w:r w:rsidR="008C16C2">
        <w:t xml:space="preserve"> for a claim</w:t>
      </w:r>
      <w:r w:rsidR="0019174E">
        <w:t>.</w:t>
      </w:r>
    </w:p>
    <w:p w14:paraId="7D0A4691" w14:textId="45C4F55F" w:rsidR="004B7494" w:rsidRDefault="004B7494" w:rsidP="00894592">
      <w:pPr>
        <w:pStyle w:val="ListParagraph"/>
        <w:numPr>
          <w:ilvl w:val="0"/>
          <w:numId w:val="5"/>
        </w:numPr>
        <w:spacing w:after="0"/>
        <w:jc w:val="both"/>
      </w:pPr>
      <w:r w:rsidRPr="006E04AE">
        <w:rPr>
          <w:b/>
          <w:bCs/>
        </w:rPr>
        <w:t>Denials rate</w:t>
      </w:r>
      <w:r w:rsidR="0019174E">
        <w:t xml:space="preserve"> </w:t>
      </w:r>
      <w:r w:rsidR="00D745E2">
        <w:t>–</w:t>
      </w:r>
      <w:r w:rsidR="0019174E">
        <w:t xml:space="preserve"> </w:t>
      </w:r>
      <w:r w:rsidR="006E04AE">
        <w:t>Number of claims denied divided by the total number of claims filed.   T</w:t>
      </w:r>
      <w:r w:rsidR="00D745E2">
        <w:t xml:space="preserve">he goal is to keep this below </w:t>
      </w:r>
      <w:r w:rsidR="006E04AE">
        <w:t>2</w:t>
      </w:r>
      <w:r w:rsidR="00D745E2">
        <w:t xml:space="preserve">% of claims filed.  </w:t>
      </w:r>
      <w:r w:rsidR="00C92610">
        <w:t>Trends should also be monitored, as they can be indicators</w:t>
      </w:r>
      <w:r w:rsidR="00E2554F">
        <w:t xml:space="preserve"> of deeper process issues.</w:t>
      </w:r>
    </w:p>
    <w:p w14:paraId="300616C1" w14:textId="53CCBF00" w:rsidR="008C16C2" w:rsidRDefault="008C16C2" w:rsidP="008C16C2">
      <w:pPr>
        <w:spacing w:after="0"/>
        <w:jc w:val="both"/>
      </w:pPr>
    </w:p>
    <w:p w14:paraId="277B907C" w14:textId="77777777" w:rsidR="006B0BFD" w:rsidRPr="006B0BFD" w:rsidRDefault="006B0BFD" w:rsidP="006B0BFD">
      <w:pPr>
        <w:spacing w:after="0"/>
        <w:ind w:left="720"/>
        <w:jc w:val="both"/>
      </w:pPr>
      <w:r w:rsidRPr="006B0BFD">
        <w:t>Example:  The hospital filed 191,195 claims and received 5,542 denials.  The denials rate is:</w:t>
      </w:r>
    </w:p>
    <w:p w14:paraId="70C84DC5" w14:textId="0134BF9F" w:rsidR="008C16C2" w:rsidRDefault="006B0BFD" w:rsidP="006B0BFD">
      <w:pPr>
        <w:spacing w:after="0"/>
        <w:ind w:left="720"/>
        <w:jc w:val="both"/>
      </w:pPr>
      <w:r w:rsidRPr="006B0BFD">
        <w:rPr>
          <w:noProof/>
        </w:rPr>
        <mc:AlternateContent>
          <mc:Choice Requires="wps">
            <w:drawing>
              <wp:anchor distT="0" distB="0" distL="114300" distR="114300" simplePos="0" relativeHeight="251670528" behindDoc="1" locked="0" layoutInCell="1" allowOverlap="1" wp14:anchorId="5FA7E032" wp14:editId="121A06D4">
                <wp:simplePos x="0" y="0"/>
                <wp:positionH relativeFrom="column">
                  <wp:posOffset>0</wp:posOffset>
                </wp:positionH>
                <wp:positionV relativeFrom="paragraph">
                  <wp:posOffset>3319</wp:posOffset>
                </wp:positionV>
                <wp:extent cx="4986301" cy="923330"/>
                <wp:effectExtent l="0" t="0" r="0" b="0"/>
                <wp:wrapTight wrapText="bothSides">
                  <wp:wrapPolygon edited="0">
                    <wp:start x="0" y="0"/>
                    <wp:lineTo x="0" y="21600"/>
                    <wp:lineTo x="21600" y="21600"/>
                    <wp:lineTo x="21600" y="0"/>
                  </wp:wrapPolygon>
                </wp:wrapTight>
                <wp:docPr id="14" name="TextBox 7"/>
                <wp:cNvGraphicFramePr/>
                <a:graphic xmlns:a="http://schemas.openxmlformats.org/drawingml/2006/main">
                  <a:graphicData uri="http://schemas.microsoft.com/office/word/2010/wordprocessingShape">
                    <wps:wsp>
                      <wps:cNvSpPr txBox="1"/>
                      <wps:spPr>
                        <a:xfrm>
                          <a:off x="0" y="0"/>
                          <a:ext cx="4986301" cy="923330"/>
                        </a:xfrm>
                        <a:prstGeom prst="rect">
                          <a:avLst/>
                        </a:prstGeom>
                        <a:noFill/>
                      </wps:spPr>
                      <wps:txbx>
                        <w:txbxContent>
                          <w:p w14:paraId="6A0ACC91" w14:textId="21A4102D" w:rsidR="006B0BFD" w:rsidRPr="006B0BFD" w:rsidRDefault="006B0BFD" w:rsidP="006B0BFD">
                            <w:pPr>
                              <w:spacing w:after="0"/>
                              <w:ind w:left="2160" w:firstLine="720"/>
                              <w:rPr>
                                <w:sz w:val="16"/>
                                <w:szCs w:val="16"/>
                              </w:rPr>
                            </w:pPr>
                            <w:r w:rsidRPr="006B0BFD">
                              <w:rPr>
                                <w:rFonts w:hAnsi="Calibri"/>
                                <w:color w:val="000000" w:themeColor="text1"/>
                                <w:kern w:val="24"/>
                                <w:u w:val="single"/>
                              </w:rPr>
                              <w:t>5,542</w:t>
                            </w:r>
                          </w:p>
                          <w:p w14:paraId="6668223B" w14:textId="3697515F" w:rsidR="006B0BFD" w:rsidRPr="006B0BFD" w:rsidRDefault="006B0BFD" w:rsidP="006B0BFD">
                            <w:pPr>
                              <w:jc w:val="center"/>
                              <w:rPr>
                                <w:sz w:val="14"/>
                                <w:szCs w:val="14"/>
                              </w:rPr>
                            </w:pPr>
                            <w:r w:rsidRPr="006B0BFD">
                              <w:rPr>
                                <w:rFonts w:hAnsi="Calibri"/>
                                <w:color w:val="000000" w:themeColor="text1"/>
                                <w:kern w:val="24"/>
                              </w:rPr>
                              <w:t xml:space="preserve">= </w:t>
                            </w:r>
                            <w:r w:rsidRPr="006B0BFD">
                              <w:rPr>
                                <w:rFonts w:hAnsi="Calibri"/>
                                <w:color w:val="000000" w:themeColor="text1"/>
                                <w:kern w:val="24"/>
                              </w:rPr>
                              <w:tab/>
                              <w:t xml:space="preserve"> </w:t>
                            </w:r>
                            <w:r>
                              <w:rPr>
                                <w:rFonts w:hAnsi="Calibri"/>
                                <w:color w:val="000000" w:themeColor="text1"/>
                                <w:kern w:val="24"/>
                              </w:rPr>
                              <w:t xml:space="preserve">           </w:t>
                            </w:r>
                            <w:r w:rsidRPr="006B0BFD">
                              <w:rPr>
                                <w:rFonts w:hAnsi="Calibri"/>
                                <w:color w:val="000000" w:themeColor="text1"/>
                                <w:kern w:val="24"/>
                              </w:rPr>
                              <w:t>191,195</w:t>
                            </w:r>
                            <w:r w:rsidRPr="006B0BFD">
                              <w:rPr>
                                <w:rFonts w:hAnsi="Calibri"/>
                                <w:color w:val="000000" w:themeColor="text1"/>
                                <w:kern w:val="24"/>
                              </w:rPr>
                              <w:tab/>
                            </w:r>
                            <w:r w:rsidRPr="006B0BFD">
                              <w:rPr>
                                <w:rFonts w:hAnsi="Calibri"/>
                                <w:color w:val="000000" w:themeColor="text1"/>
                                <w:kern w:val="24"/>
                              </w:rPr>
                              <w:tab/>
                              <w:t xml:space="preserve">= </w:t>
                            </w:r>
                            <w:r w:rsidRPr="006B0BFD">
                              <w:rPr>
                                <w:rFonts w:hAnsi="Calibri"/>
                                <w:color w:val="000000" w:themeColor="text1"/>
                                <w:kern w:val="24"/>
                              </w:rPr>
                              <w:tab/>
                            </w:r>
                            <w:r w:rsidRPr="006B0BFD">
                              <w:rPr>
                                <w:rFonts w:hAnsi="Calibri"/>
                                <w:color w:val="000000" w:themeColor="text1"/>
                                <w:kern w:val="24"/>
                              </w:rPr>
                              <w:tab/>
                              <w:t>2.9%</w:t>
                            </w:r>
                          </w:p>
                        </w:txbxContent>
                      </wps:txbx>
                      <wps:bodyPr wrap="square" rtlCol="0">
                        <a:spAutoFit/>
                      </wps:bodyPr>
                    </wps:wsp>
                  </a:graphicData>
                </a:graphic>
              </wp:anchor>
            </w:drawing>
          </mc:Choice>
          <mc:Fallback>
            <w:pict>
              <v:shape w14:anchorId="5FA7E032" id="TextBox 7" o:spid="_x0000_s1033" type="#_x0000_t202" style="position:absolute;left:0;text-align:left;margin-left:0;margin-top:.25pt;width:392.6pt;height:72.7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" filled="f" stroked="f">
                <v:textbox style="mso-fit-shape-to-text:t">
                  <w:txbxContent>
                    <w:p w14:paraId="6A0ACC91" w14:textId="21A4102D" w:rsidR="006B0BFD" w:rsidRPr="006B0BFD" w:rsidRDefault="006B0BFD" w:rsidP="006B0BFD">
                      <w:pPr>
                        <w:spacing w:after="0"/>
                        <w:ind w:left="2160" w:firstLine="720"/>
                        <w:rPr>
                          <w:sz w:val="16"/>
                          <w:szCs w:val="16"/>
                        </w:rPr>
                      </w:pPr>
                      <w:r w:rsidRPr="006B0BFD">
                        <w:rPr>
                          <w:rFonts w:hAnsi="Calibri"/>
                          <w:color w:val="000000" w:themeColor="text1"/>
                          <w:kern w:val="24"/>
                          <w:u w:val="single"/>
                        </w:rPr>
                        <w:t>5,542</w:t>
                      </w:r>
                    </w:p>
                    <w:p w14:paraId="6668223B" w14:textId="3697515F" w:rsidR="006B0BFD" w:rsidRPr="006B0BFD" w:rsidRDefault="006B0BFD" w:rsidP="006B0BFD">
                      <w:pPr>
                        <w:jc w:val="center"/>
                        <w:rPr>
                          <w:sz w:val="14"/>
                          <w:szCs w:val="14"/>
                        </w:rPr>
                      </w:pPr>
                      <w:r w:rsidRPr="006B0BFD">
                        <w:rPr>
                          <w:rFonts w:hAnsi="Calibri"/>
                          <w:color w:val="000000" w:themeColor="text1"/>
                          <w:kern w:val="24"/>
                        </w:rPr>
                        <w:t xml:space="preserve">= </w:t>
                      </w:r>
                      <w:r w:rsidRPr="006B0BFD">
                        <w:rPr>
                          <w:rFonts w:hAnsi="Calibri"/>
                          <w:color w:val="000000" w:themeColor="text1"/>
                          <w:kern w:val="24"/>
                        </w:rPr>
                        <w:tab/>
                        <w:t xml:space="preserve"> </w:t>
                      </w:r>
                      <w:r>
                        <w:rPr>
                          <w:rFonts w:hAnsi="Calibri"/>
                          <w:color w:val="000000" w:themeColor="text1"/>
                          <w:kern w:val="24"/>
                        </w:rPr>
                        <w:t xml:space="preserve">           </w:t>
                      </w:r>
                      <w:r w:rsidRPr="006B0BFD">
                        <w:rPr>
                          <w:rFonts w:hAnsi="Calibri"/>
                          <w:color w:val="000000" w:themeColor="text1"/>
                          <w:kern w:val="24"/>
                        </w:rPr>
                        <w:t>191,195</w:t>
                      </w:r>
                      <w:r w:rsidRPr="006B0BFD">
                        <w:rPr>
                          <w:rFonts w:hAnsi="Calibri"/>
                          <w:color w:val="000000" w:themeColor="text1"/>
                          <w:kern w:val="24"/>
                        </w:rPr>
                        <w:tab/>
                      </w:r>
                      <w:r w:rsidRPr="006B0BFD">
                        <w:rPr>
                          <w:rFonts w:hAnsi="Calibri"/>
                          <w:color w:val="000000" w:themeColor="text1"/>
                          <w:kern w:val="24"/>
                        </w:rPr>
                        <w:tab/>
                        <w:t xml:space="preserve">= </w:t>
                      </w:r>
                      <w:r w:rsidRPr="006B0BFD">
                        <w:rPr>
                          <w:rFonts w:hAnsi="Calibri"/>
                          <w:color w:val="000000" w:themeColor="text1"/>
                          <w:kern w:val="24"/>
                        </w:rPr>
                        <w:tab/>
                      </w:r>
                      <w:r w:rsidRPr="006B0BFD">
                        <w:rPr>
                          <w:rFonts w:hAnsi="Calibri"/>
                          <w:color w:val="000000" w:themeColor="text1"/>
                          <w:kern w:val="24"/>
                        </w:rPr>
                        <w:tab/>
                        <w:t>2.9%</w:t>
                      </w:r>
                    </w:p>
                  </w:txbxContent>
                </v:textbox>
                <w10:wrap type="tight"/>
              </v:shape>
            </w:pict>
          </mc:Fallback>
        </mc:AlternateContent>
      </w:r>
    </w:p>
    <w:p w14:paraId="298987F9" w14:textId="0B1289DF" w:rsidR="008C16C2" w:rsidRDefault="008C16C2" w:rsidP="008C16C2">
      <w:pPr>
        <w:spacing w:after="0"/>
        <w:jc w:val="both"/>
      </w:pPr>
    </w:p>
    <w:p w14:paraId="613FE2BD" w14:textId="77777777" w:rsidR="006B0BFD" w:rsidRDefault="006B0BFD" w:rsidP="008C16C2">
      <w:pPr>
        <w:spacing w:after="0"/>
        <w:jc w:val="both"/>
      </w:pPr>
    </w:p>
    <w:p w14:paraId="4CA69C9E" w14:textId="77777777" w:rsidR="008C16C2" w:rsidRDefault="008C16C2" w:rsidP="008C16C2">
      <w:pPr>
        <w:spacing w:after="0"/>
        <w:jc w:val="both"/>
      </w:pPr>
    </w:p>
    <w:p w14:paraId="0971CD07" w14:textId="01F4C7DF" w:rsidR="0031311B" w:rsidRDefault="0031311B" w:rsidP="006B0BFD">
      <w:pPr>
        <w:pStyle w:val="ListParagraph"/>
        <w:numPr>
          <w:ilvl w:val="0"/>
          <w:numId w:val="5"/>
        </w:numPr>
        <w:spacing w:after="0"/>
        <w:jc w:val="both"/>
      </w:pPr>
      <w:r w:rsidRPr="00CA313B">
        <w:rPr>
          <w:b/>
          <w:bCs/>
        </w:rPr>
        <w:lastRenderedPageBreak/>
        <w:t>Discharged but not final billed (DFNB)/Unbilled AR</w:t>
      </w:r>
      <w:r w:rsidR="00EE3DC7">
        <w:t xml:space="preserve"> </w:t>
      </w:r>
      <w:r w:rsidR="00270E84">
        <w:t>–</w:t>
      </w:r>
      <w:r w:rsidR="00EE3DC7">
        <w:t xml:space="preserve"> </w:t>
      </w:r>
      <w:r w:rsidR="005B1449">
        <w:t>In this case the s</w:t>
      </w:r>
      <w:r w:rsidR="00CA313B">
        <w:t xml:space="preserve">ervice was completed but the provider </w:t>
      </w:r>
      <w:r w:rsidR="005B1449">
        <w:t>h</w:t>
      </w:r>
      <w:r w:rsidR="00CA313B">
        <w:t xml:space="preserve">as not been able to file the claim.  </w:t>
      </w:r>
      <w:r w:rsidR="00481F4E">
        <w:t xml:space="preserve">Some causes include </w:t>
      </w:r>
      <w:r w:rsidR="00CA313B">
        <w:t>not all charges</w:t>
      </w:r>
      <w:r w:rsidR="00481F4E">
        <w:t xml:space="preserve"> being recorded and</w:t>
      </w:r>
      <w:r w:rsidR="00CA313B">
        <w:t xml:space="preserve"> collected</w:t>
      </w:r>
      <w:r w:rsidR="00481F4E">
        <w:t xml:space="preserve"> in the patient’s record</w:t>
      </w:r>
      <w:r w:rsidR="00CA313B">
        <w:t xml:space="preserve">, coding not completed, </w:t>
      </w:r>
      <w:r w:rsidR="00B133FB">
        <w:t xml:space="preserve">and even </w:t>
      </w:r>
      <w:r w:rsidR="00CA313B">
        <w:t xml:space="preserve">insurance not verified so </w:t>
      </w:r>
      <w:r w:rsidR="00B133FB">
        <w:t xml:space="preserve">staff </w:t>
      </w:r>
      <w:r w:rsidR="005B1449">
        <w:t>does not</w:t>
      </w:r>
      <w:r w:rsidR="00CA313B">
        <w:t xml:space="preserve"> know who to bill.  T</w:t>
      </w:r>
      <w:r w:rsidR="00270E84">
        <w:t xml:space="preserve">his amount must also be managed, as </w:t>
      </w:r>
      <w:r w:rsidR="005B1449">
        <w:t xml:space="preserve">the </w:t>
      </w:r>
      <w:r w:rsidR="006C602E">
        <w:t xml:space="preserve">filing date can quickly go beyond allowable days for a payer, so it should be a priority for staff to get them </w:t>
      </w:r>
      <w:r w:rsidR="005B1449">
        <w:t>completed and file</w:t>
      </w:r>
      <w:r w:rsidR="006C602E">
        <w:t>d as quickly as possible.</w:t>
      </w:r>
      <w:r w:rsidR="000A5090">
        <w:t xml:space="preserve">  “Suspense period” is the amount of time a provider </w:t>
      </w:r>
      <w:r w:rsidR="00DD0FE1">
        <w:t>allows for the completion and submission of a claim</w:t>
      </w:r>
      <w:r w:rsidR="005B1449">
        <w:t xml:space="preserve"> (time to collect </w:t>
      </w:r>
      <w:r w:rsidR="00B8586F">
        <w:t>all</w:t>
      </w:r>
      <w:r w:rsidR="005B1449">
        <w:t xml:space="preserve"> the information required)</w:t>
      </w:r>
      <w:r w:rsidR="008962E8">
        <w:t xml:space="preserve"> following patient discharge</w:t>
      </w:r>
      <w:r w:rsidR="00DD0FE1">
        <w:t>.  Best practice is a 3</w:t>
      </w:r>
      <w:r w:rsidR="00A928DC">
        <w:t>-</w:t>
      </w:r>
      <w:r w:rsidR="00DD0FE1">
        <w:t>day</w:t>
      </w:r>
      <w:r w:rsidR="00B8586F">
        <w:t xml:space="preserve"> or less</w:t>
      </w:r>
      <w:r w:rsidR="00DD0FE1">
        <w:t xml:space="preserve"> suspense period.  </w:t>
      </w:r>
    </w:p>
    <w:p w14:paraId="05CAF814" w14:textId="280C81EE" w:rsidR="002D2D87" w:rsidRDefault="002D2D87" w:rsidP="00CA313B">
      <w:pPr>
        <w:pStyle w:val="ListParagraph"/>
        <w:numPr>
          <w:ilvl w:val="0"/>
          <w:numId w:val="5"/>
        </w:numPr>
        <w:spacing w:after="0"/>
        <w:jc w:val="both"/>
      </w:pPr>
      <w:r>
        <w:rPr>
          <w:b/>
          <w:bCs/>
        </w:rPr>
        <w:t>Final Billed but not submitted to payer (FB</w:t>
      </w:r>
      <w:r w:rsidR="00A928DC">
        <w:rPr>
          <w:b/>
          <w:bCs/>
        </w:rPr>
        <w:t>N</w:t>
      </w:r>
      <w:r>
        <w:rPr>
          <w:b/>
          <w:bCs/>
        </w:rPr>
        <w:t xml:space="preserve">S) </w:t>
      </w:r>
      <w:r w:rsidR="002B6D01">
        <w:t>–</w:t>
      </w:r>
      <w:r>
        <w:t xml:space="preserve"> </w:t>
      </w:r>
      <w:r w:rsidR="00D849CB">
        <w:t>In this case, the claim may</w:t>
      </w:r>
      <w:r w:rsidR="002B6D01">
        <w:t xml:space="preserve"> need additional editing/scrubbing prior to submission </w:t>
      </w:r>
      <w:r w:rsidR="00D849CB">
        <w:t xml:space="preserve">to the payer.  This number </w:t>
      </w:r>
      <w:r w:rsidR="002B6D01">
        <w:t>should be close to zero as possible.</w:t>
      </w:r>
    </w:p>
    <w:p w14:paraId="65D47419" w14:textId="1566D2EA" w:rsidR="00EF6FDE" w:rsidRDefault="00EF6FDE" w:rsidP="00EF6FDE">
      <w:pPr>
        <w:spacing w:after="0"/>
        <w:jc w:val="both"/>
      </w:pPr>
    </w:p>
    <w:p w14:paraId="24B6299C" w14:textId="36466391" w:rsidR="00EF6FDE" w:rsidRDefault="00EF6FDE" w:rsidP="00EF6FDE">
      <w:pPr>
        <w:spacing w:after="0"/>
        <w:jc w:val="both"/>
      </w:pPr>
      <w:r>
        <w:t xml:space="preserve">Other </w:t>
      </w:r>
      <w:r w:rsidR="00233D5C">
        <w:t xml:space="preserve">reports and </w:t>
      </w:r>
      <w:r w:rsidR="0031311B">
        <w:t>measures</w:t>
      </w:r>
      <w:r>
        <w:t xml:space="preserve"> include:</w:t>
      </w:r>
    </w:p>
    <w:p w14:paraId="761F6643" w14:textId="67A99214" w:rsidR="00EF6FDE" w:rsidRPr="00251487" w:rsidRDefault="00EF6FDE" w:rsidP="00EF6FDE">
      <w:pPr>
        <w:pStyle w:val="ListParagraph"/>
        <w:numPr>
          <w:ilvl w:val="0"/>
          <w:numId w:val="5"/>
        </w:numPr>
        <w:spacing w:after="0"/>
        <w:jc w:val="both"/>
        <w:rPr>
          <w:b/>
          <w:bCs/>
        </w:rPr>
      </w:pPr>
      <w:r w:rsidRPr="00251487">
        <w:rPr>
          <w:b/>
          <w:bCs/>
        </w:rPr>
        <w:t>Payment aging from discharge by payer</w:t>
      </w:r>
      <w:r w:rsidR="00251487">
        <w:rPr>
          <w:b/>
          <w:bCs/>
        </w:rPr>
        <w:t xml:space="preserve"> </w:t>
      </w:r>
      <w:r w:rsidR="004C4E95">
        <w:t xml:space="preserve">– </w:t>
      </w:r>
      <w:r w:rsidR="00233D5C">
        <w:t>As mentioned earlier, a</w:t>
      </w:r>
      <w:r w:rsidR="004C4E95">
        <w:t xml:space="preserve">ging reports divide the accounts receivable into 30, 60, 90 120 days and over categories, based on the date of service or discharge.  </w:t>
      </w:r>
      <w:r w:rsidR="00BA39AF">
        <w:t xml:space="preserve">It is an important measure as it shows </w:t>
      </w:r>
      <w:r w:rsidR="003E2D11">
        <w:t xml:space="preserve">how delays in billing impact the ability to receive payment in a timely manner.  </w:t>
      </w:r>
      <w:r w:rsidR="009E01F3">
        <w:t>It can also identify which payers are paying late and focus on process improvements to speed them up.</w:t>
      </w:r>
      <w:r w:rsidR="00500E1B">
        <w:t xml:space="preserve">  Using a descending balance report can let staff focus on the highest balance accounts to focus collections.</w:t>
      </w:r>
    </w:p>
    <w:p w14:paraId="7E06753A" w14:textId="2EE9A554" w:rsidR="00204468" w:rsidRDefault="00204468" w:rsidP="008D75B7">
      <w:pPr>
        <w:pStyle w:val="ListParagraph"/>
        <w:numPr>
          <w:ilvl w:val="0"/>
          <w:numId w:val="5"/>
        </w:numPr>
        <w:spacing w:after="0"/>
        <w:jc w:val="both"/>
      </w:pPr>
      <w:r w:rsidRPr="00204468">
        <w:rPr>
          <w:b/>
          <w:bCs/>
        </w:rPr>
        <w:t>Cost to collect</w:t>
      </w:r>
      <w:r>
        <w:t xml:space="preserve"> – </w:t>
      </w:r>
      <w:r w:rsidR="005B5A29">
        <w:t>T</w:t>
      </w:r>
      <w:r w:rsidR="008D75B7">
        <w:t>his is the t</w:t>
      </w:r>
      <w:r w:rsidR="005B5A29">
        <w:t xml:space="preserve">otal revenue cycle departmental costs divided by patient collections.  Best practice </w:t>
      </w:r>
      <w:r w:rsidR="001A43F7">
        <w:t>is a range from 1.6% to 2.4%</w:t>
      </w:r>
      <w:r w:rsidR="00991741">
        <w:t>, but most providers are consistently over 3%.</w:t>
      </w:r>
    </w:p>
    <w:p w14:paraId="663B2C99" w14:textId="463E7A83" w:rsidR="00EF272F" w:rsidRPr="0018005C" w:rsidRDefault="00EF272F" w:rsidP="00EF272F">
      <w:pPr>
        <w:pStyle w:val="ListParagraph"/>
        <w:numPr>
          <w:ilvl w:val="0"/>
          <w:numId w:val="6"/>
        </w:numPr>
        <w:rPr>
          <w:b/>
          <w:bCs/>
        </w:rPr>
      </w:pPr>
      <w:r w:rsidRPr="0018005C">
        <w:rPr>
          <w:b/>
          <w:bCs/>
        </w:rPr>
        <w:t>Monthly write-offs</w:t>
      </w:r>
      <w:r w:rsidR="00224630">
        <w:rPr>
          <w:b/>
          <w:bCs/>
        </w:rPr>
        <w:t xml:space="preserve"> and bad debt</w:t>
      </w:r>
    </w:p>
    <w:p w14:paraId="734AE13C" w14:textId="381036C0" w:rsidR="000F1B5E" w:rsidRDefault="00E97D97" w:rsidP="00894592">
      <w:pPr>
        <w:pStyle w:val="ListParagraph"/>
        <w:numPr>
          <w:ilvl w:val="0"/>
          <w:numId w:val="5"/>
        </w:numPr>
        <w:spacing w:after="0"/>
      </w:pPr>
      <w:r w:rsidRPr="00E97D97">
        <w:rPr>
          <w:b/>
          <w:bCs/>
        </w:rPr>
        <w:t xml:space="preserve">Point of service cash or </w:t>
      </w:r>
      <w:r w:rsidR="000F1B5E" w:rsidRPr="00E97D97">
        <w:rPr>
          <w:b/>
          <w:bCs/>
        </w:rPr>
        <w:t>Co-payment collection rate</w:t>
      </w:r>
      <w:r w:rsidR="000F1B5E">
        <w:t xml:space="preserve"> (from patient </w:t>
      </w:r>
      <w:r w:rsidR="00EF272F">
        <w:t>prior to</w:t>
      </w:r>
      <w:r w:rsidR="000F1B5E">
        <w:t xml:space="preserve"> service)</w:t>
      </w:r>
      <w:r w:rsidR="00E9388F">
        <w:t xml:space="preserve"> – Cash collections up front </w:t>
      </w:r>
      <w:r w:rsidR="00D60862">
        <w:t xml:space="preserve">(prior to service) </w:t>
      </w:r>
      <w:r w:rsidR="00E9388F">
        <w:t xml:space="preserve">divided by </w:t>
      </w:r>
      <w:r w:rsidR="006E04AE">
        <w:t>total cash collected.  Best practice is 25 to 37% range.</w:t>
      </w:r>
    </w:p>
    <w:p w14:paraId="3652546D" w14:textId="77777777" w:rsidR="006B7AAB" w:rsidRDefault="006B7AAB" w:rsidP="007946F7">
      <w:pPr>
        <w:rPr>
          <w:b/>
          <w:bCs/>
        </w:rPr>
      </w:pPr>
    </w:p>
    <w:p w14:paraId="731D4F38" w14:textId="0FED1423" w:rsidR="00460E52" w:rsidRDefault="00894592" w:rsidP="007946F7">
      <w:r w:rsidRPr="00894592">
        <w:rPr>
          <w:b/>
          <w:bCs/>
        </w:rPr>
        <w:t>Example:</w:t>
      </w:r>
      <w:r>
        <w:t xml:space="preserve">   A</w:t>
      </w:r>
      <w:r w:rsidR="00460E52">
        <w:t xml:space="preserve"> hospital </w:t>
      </w:r>
      <w:r w:rsidR="00AE7A3C">
        <w:t xml:space="preserve">collected </w:t>
      </w:r>
      <w:r w:rsidR="00460E52">
        <w:t xml:space="preserve">the following </w:t>
      </w:r>
      <w:r w:rsidR="00AE7A3C">
        <w:t>data for revenue cycle reporting</w:t>
      </w:r>
      <w:r w:rsidR="00460E52">
        <w:t xml:space="preserve"> for the previous </w:t>
      </w:r>
      <w:r w:rsidR="00D93405">
        <w:t>year</w:t>
      </w:r>
      <w:r w:rsidR="00460E52">
        <w:t>:</w:t>
      </w:r>
      <w:r w:rsidR="0094340B">
        <w:t xml:space="preserve"> </w:t>
      </w:r>
    </w:p>
    <w:tbl>
      <w:tblPr>
        <w:tblW w:w="4640" w:type="dxa"/>
        <w:tblLook w:val="04A0" w:firstRow="1" w:lastRow="0" w:firstColumn="1" w:lastColumn="0" w:noHBand="0" w:noVBand="1"/>
      </w:tblPr>
      <w:tblGrid>
        <w:gridCol w:w="2900"/>
        <w:gridCol w:w="1740"/>
      </w:tblGrid>
      <w:tr w:rsidR="009633AA" w:rsidRPr="009633AA" w14:paraId="04518AC6" w14:textId="77777777" w:rsidTr="009633AA">
        <w:trPr>
          <w:trHeight w:val="285"/>
        </w:trPr>
        <w:tc>
          <w:tcPr>
            <w:tcW w:w="2900" w:type="dxa"/>
            <w:tcBorders>
              <w:top w:val="nil"/>
              <w:left w:val="nil"/>
              <w:bottom w:val="nil"/>
              <w:right w:val="nil"/>
            </w:tcBorders>
            <w:shd w:val="clear" w:color="auto" w:fill="auto"/>
            <w:noWrap/>
            <w:vAlign w:val="bottom"/>
            <w:hideMark/>
          </w:tcPr>
          <w:p w14:paraId="031EE425" w14:textId="77777777" w:rsidR="009633AA" w:rsidRPr="009633AA" w:rsidRDefault="009633AA" w:rsidP="009633AA">
            <w:pPr>
              <w:spacing w:after="0" w:line="240" w:lineRule="auto"/>
              <w:rPr>
                <w:rFonts w:ascii="Calibri" w:eastAsia="Times New Roman" w:hAnsi="Calibri" w:cs="Calibri"/>
                <w:color w:val="000000"/>
                <w:sz w:val="20"/>
                <w:szCs w:val="20"/>
              </w:rPr>
            </w:pPr>
            <w:r w:rsidRPr="009633AA">
              <w:rPr>
                <w:rFonts w:ascii="Calibri" w:eastAsia="Times New Roman" w:hAnsi="Calibri" w:cs="Calibri"/>
                <w:color w:val="000000"/>
                <w:sz w:val="20"/>
                <w:szCs w:val="20"/>
              </w:rPr>
              <w:t>Patients accounts receivable</w:t>
            </w:r>
          </w:p>
        </w:tc>
        <w:tc>
          <w:tcPr>
            <w:tcW w:w="1740" w:type="dxa"/>
            <w:tcBorders>
              <w:top w:val="nil"/>
              <w:left w:val="nil"/>
              <w:bottom w:val="nil"/>
              <w:right w:val="nil"/>
            </w:tcBorders>
            <w:shd w:val="clear" w:color="auto" w:fill="auto"/>
            <w:noWrap/>
            <w:vAlign w:val="bottom"/>
            <w:hideMark/>
          </w:tcPr>
          <w:p w14:paraId="532317B6" w14:textId="77777777" w:rsidR="009633AA" w:rsidRPr="009633AA" w:rsidRDefault="009633AA" w:rsidP="009633AA">
            <w:pPr>
              <w:spacing w:after="0" w:line="240" w:lineRule="auto"/>
              <w:rPr>
                <w:rFonts w:ascii="Calibri" w:eastAsia="Times New Roman" w:hAnsi="Calibri" w:cs="Calibri"/>
                <w:color w:val="000000"/>
                <w:sz w:val="20"/>
                <w:szCs w:val="20"/>
              </w:rPr>
            </w:pPr>
            <w:r w:rsidRPr="009633AA">
              <w:rPr>
                <w:rFonts w:ascii="Calibri" w:eastAsia="Times New Roman" w:hAnsi="Calibri" w:cs="Calibri"/>
                <w:color w:val="000000"/>
                <w:sz w:val="20"/>
                <w:szCs w:val="20"/>
              </w:rPr>
              <w:t xml:space="preserve"> $        57,127,000 </w:t>
            </w:r>
          </w:p>
        </w:tc>
      </w:tr>
      <w:tr w:rsidR="009633AA" w:rsidRPr="009633AA" w14:paraId="5E1A219A" w14:textId="77777777" w:rsidTr="009633AA">
        <w:trPr>
          <w:trHeight w:val="285"/>
        </w:trPr>
        <w:tc>
          <w:tcPr>
            <w:tcW w:w="2900" w:type="dxa"/>
            <w:tcBorders>
              <w:top w:val="nil"/>
              <w:left w:val="nil"/>
              <w:bottom w:val="nil"/>
              <w:right w:val="nil"/>
            </w:tcBorders>
            <w:shd w:val="clear" w:color="auto" w:fill="auto"/>
            <w:noWrap/>
            <w:vAlign w:val="bottom"/>
            <w:hideMark/>
          </w:tcPr>
          <w:p w14:paraId="47457664" w14:textId="77777777" w:rsidR="009633AA" w:rsidRPr="009633AA" w:rsidRDefault="009633AA" w:rsidP="009633AA">
            <w:pPr>
              <w:spacing w:after="0" w:line="240" w:lineRule="auto"/>
              <w:rPr>
                <w:rFonts w:ascii="Calibri" w:eastAsia="Times New Roman" w:hAnsi="Calibri" w:cs="Calibri"/>
                <w:color w:val="000000"/>
                <w:sz w:val="20"/>
                <w:szCs w:val="20"/>
              </w:rPr>
            </w:pPr>
            <w:r w:rsidRPr="009633AA">
              <w:rPr>
                <w:rFonts w:ascii="Calibri" w:eastAsia="Times New Roman" w:hAnsi="Calibri" w:cs="Calibri"/>
                <w:color w:val="000000"/>
                <w:sz w:val="20"/>
                <w:szCs w:val="20"/>
              </w:rPr>
              <w:t>Net patient service revenue</w:t>
            </w:r>
          </w:p>
        </w:tc>
        <w:tc>
          <w:tcPr>
            <w:tcW w:w="1740" w:type="dxa"/>
            <w:tcBorders>
              <w:top w:val="nil"/>
              <w:left w:val="nil"/>
              <w:bottom w:val="nil"/>
              <w:right w:val="nil"/>
            </w:tcBorders>
            <w:shd w:val="clear" w:color="auto" w:fill="auto"/>
            <w:noWrap/>
            <w:vAlign w:val="bottom"/>
            <w:hideMark/>
          </w:tcPr>
          <w:p w14:paraId="4EDBB777" w14:textId="77777777" w:rsidR="009633AA" w:rsidRPr="009633AA" w:rsidRDefault="009633AA" w:rsidP="009633AA">
            <w:pPr>
              <w:spacing w:after="0" w:line="240" w:lineRule="auto"/>
              <w:rPr>
                <w:rFonts w:ascii="Calibri" w:eastAsia="Times New Roman" w:hAnsi="Calibri" w:cs="Calibri"/>
                <w:color w:val="000000"/>
                <w:sz w:val="20"/>
                <w:szCs w:val="20"/>
              </w:rPr>
            </w:pPr>
            <w:r w:rsidRPr="009633AA">
              <w:rPr>
                <w:rFonts w:ascii="Calibri" w:eastAsia="Times New Roman" w:hAnsi="Calibri" w:cs="Calibri"/>
                <w:color w:val="000000"/>
                <w:sz w:val="20"/>
                <w:szCs w:val="20"/>
              </w:rPr>
              <w:t xml:space="preserve"> $      489,504,000 </w:t>
            </w:r>
          </w:p>
        </w:tc>
      </w:tr>
      <w:tr w:rsidR="009633AA" w:rsidRPr="009633AA" w14:paraId="2DB4B70A" w14:textId="77777777" w:rsidTr="009633AA">
        <w:trPr>
          <w:trHeight w:val="285"/>
        </w:trPr>
        <w:tc>
          <w:tcPr>
            <w:tcW w:w="2900" w:type="dxa"/>
            <w:tcBorders>
              <w:top w:val="nil"/>
              <w:left w:val="nil"/>
              <w:bottom w:val="nil"/>
              <w:right w:val="nil"/>
            </w:tcBorders>
            <w:shd w:val="clear" w:color="auto" w:fill="auto"/>
            <w:noWrap/>
            <w:vAlign w:val="bottom"/>
            <w:hideMark/>
          </w:tcPr>
          <w:p w14:paraId="2B87F4D4" w14:textId="77777777" w:rsidR="009633AA" w:rsidRPr="009633AA" w:rsidRDefault="009633AA" w:rsidP="009633AA">
            <w:pPr>
              <w:spacing w:after="0" w:line="240" w:lineRule="auto"/>
              <w:rPr>
                <w:rFonts w:ascii="Calibri" w:eastAsia="Times New Roman" w:hAnsi="Calibri" w:cs="Calibri"/>
                <w:color w:val="000000"/>
                <w:sz w:val="20"/>
                <w:szCs w:val="20"/>
              </w:rPr>
            </w:pPr>
            <w:r w:rsidRPr="009633AA">
              <w:rPr>
                <w:rFonts w:ascii="Calibri" w:eastAsia="Times New Roman" w:hAnsi="Calibri" w:cs="Calibri"/>
                <w:color w:val="000000"/>
                <w:sz w:val="20"/>
                <w:szCs w:val="20"/>
              </w:rPr>
              <w:t>Bad debt</w:t>
            </w:r>
          </w:p>
        </w:tc>
        <w:tc>
          <w:tcPr>
            <w:tcW w:w="1740" w:type="dxa"/>
            <w:tcBorders>
              <w:top w:val="nil"/>
              <w:left w:val="nil"/>
              <w:bottom w:val="nil"/>
              <w:right w:val="nil"/>
            </w:tcBorders>
            <w:shd w:val="clear" w:color="auto" w:fill="auto"/>
            <w:noWrap/>
            <w:vAlign w:val="bottom"/>
            <w:hideMark/>
          </w:tcPr>
          <w:p w14:paraId="19C8215D" w14:textId="77777777" w:rsidR="009633AA" w:rsidRPr="009633AA" w:rsidRDefault="009633AA" w:rsidP="009633AA">
            <w:pPr>
              <w:spacing w:after="0" w:line="240" w:lineRule="auto"/>
              <w:rPr>
                <w:rFonts w:ascii="Calibri" w:eastAsia="Times New Roman" w:hAnsi="Calibri" w:cs="Calibri"/>
                <w:color w:val="000000"/>
                <w:sz w:val="20"/>
                <w:szCs w:val="20"/>
              </w:rPr>
            </w:pPr>
            <w:r w:rsidRPr="009633AA">
              <w:rPr>
                <w:rFonts w:ascii="Calibri" w:eastAsia="Times New Roman" w:hAnsi="Calibri" w:cs="Calibri"/>
                <w:color w:val="000000"/>
                <w:sz w:val="20"/>
                <w:szCs w:val="20"/>
              </w:rPr>
              <w:t xml:space="preserve"> $        10,934,000 </w:t>
            </w:r>
          </w:p>
        </w:tc>
      </w:tr>
    </w:tbl>
    <w:p w14:paraId="08A8B7BA" w14:textId="4B9D0C3F" w:rsidR="00AE7A3C" w:rsidRDefault="00AE7A3C" w:rsidP="007946F7"/>
    <w:p w14:paraId="62EBB722" w14:textId="1CC39F11" w:rsidR="00AE7A3C" w:rsidRDefault="009633AA" w:rsidP="007946F7">
      <w:r>
        <w:t xml:space="preserve">What </w:t>
      </w:r>
      <w:proofErr w:type="gramStart"/>
      <w:r>
        <w:t>is</w:t>
      </w:r>
      <w:proofErr w:type="gramEnd"/>
      <w:r>
        <w:t xml:space="preserve"> the days in </w:t>
      </w:r>
      <w:r w:rsidR="00A018F6">
        <w:t>a</w:t>
      </w:r>
      <w:r>
        <w:t>ccounts receivable?  How does it compare to best practice?</w:t>
      </w:r>
    </w:p>
    <w:p w14:paraId="0B2BB1DF" w14:textId="321E7C2C" w:rsidR="009633AA" w:rsidRDefault="006D009B" w:rsidP="007946F7">
      <w:r>
        <w:t>Days in A/R = $57,127,000</w:t>
      </w:r>
      <w:r w:rsidR="009F7EF8">
        <w:t xml:space="preserve"> </w:t>
      </w:r>
      <w:r>
        <w:t>/</w:t>
      </w:r>
      <w:r w:rsidR="009F7EF8">
        <w:t xml:space="preserve"> </w:t>
      </w:r>
      <w:r>
        <w:t xml:space="preserve">($489,504,000/365) = </w:t>
      </w:r>
      <w:r w:rsidR="00F85FCE">
        <w:t>42.6</w:t>
      </w:r>
    </w:p>
    <w:p w14:paraId="7AF2FE6D" w14:textId="3CC78268" w:rsidR="00A018F6" w:rsidRDefault="00B640A8" w:rsidP="007946F7">
      <w:r w:rsidRPr="00B640A8">
        <w:t>Best practice is 40 to 45 days, so this hospital is performing withing that range</w:t>
      </w:r>
      <w:r>
        <w:t>.</w:t>
      </w:r>
    </w:p>
    <w:p w14:paraId="02DD6ED6" w14:textId="1BF41BCA" w:rsidR="00F85FCE" w:rsidRDefault="00F85FCE" w:rsidP="007946F7">
      <w:r>
        <w:t>What is the percent bad debt?</w:t>
      </w:r>
    </w:p>
    <w:p w14:paraId="7EDAD425" w14:textId="568E7056" w:rsidR="00F85FCE" w:rsidRDefault="00F85FCE" w:rsidP="007946F7">
      <w:r>
        <w:t xml:space="preserve">% </w:t>
      </w:r>
      <w:r w:rsidR="00B640A8">
        <w:t>B</w:t>
      </w:r>
      <w:r>
        <w:t xml:space="preserve">ad </w:t>
      </w:r>
      <w:r w:rsidR="00B640A8">
        <w:t>D</w:t>
      </w:r>
      <w:r>
        <w:t>ebt = $10,934,000</w:t>
      </w:r>
      <w:r w:rsidR="009F7EF8">
        <w:t xml:space="preserve"> </w:t>
      </w:r>
      <w:r>
        <w:t>/</w:t>
      </w:r>
      <w:r w:rsidR="009F7EF8">
        <w:t xml:space="preserve"> </w:t>
      </w:r>
      <w:r>
        <w:t>$489,504,000 = 2.</w:t>
      </w:r>
      <w:r w:rsidR="001101E4">
        <w:t>2%</w:t>
      </w:r>
    </w:p>
    <w:p w14:paraId="5972C7FE" w14:textId="77777777" w:rsidR="00B640A8" w:rsidRPr="00B640A8" w:rsidRDefault="00B640A8" w:rsidP="00B640A8">
      <w:r w:rsidRPr="00B640A8">
        <w:t>Best practice is below 2% - this hospital is just above that, so they should take a closer look at their bad debt.  Is it trending up or down?  If going down, that is a positive indicator but if going up, they should look at some of the revenue cycle processes involving patient payment counseling.</w:t>
      </w:r>
    </w:p>
    <w:p w14:paraId="02A4805D" w14:textId="77777777" w:rsidR="00AE7A3C" w:rsidRDefault="00AE7A3C" w:rsidP="007946F7"/>
    <w:p w14:paraId="296BFEFA" w14:textId="61948171" w:rsidR="00574D6C" w:rsidRDefault="00D768EE" w:rsidP="00CF5605">
      <w:pPr>
        <w:pStyle w:val="Heading2"/>
      </w:pPr>
      <w:bookmarkStart w:id="13" w:name="_Toc45293111"/>
      <w:r>
        <w:t xml:space="preserve">Other </w:t>
      </w:r>
      <w:r w:rsidR="00574D6C">
        <w:t>Metrics and Measures</w:t>
      </w:r>
      <w:bookmarkEnd w:id="13"/>
    </w:p>
    <w:p w14:paraId="1A954121" w14:textId="77777777" w:rsidR="005A0F05" w:rsidRDefault="005A0F05" w:rsidP="005A0F05">
      <w:r>
        <w:t>Other areas to monitor that may be more process focused include:</w:t>
      </w:r>
    </w:p>
    <w:p w14:paraId="6AF03C18" w14:textId="77777777" w:rsidR="005A0F05" w:rsidRDefault="005A0F05" w:rsidP="005A0F05">
      <w:pPr>
        <w:pStyle w:val="ListParagraph"/>
        <w:numPr>
          <w:ilvl w:val="0"/>
          <w:numId w:val="6"/>
        </w:numPr>
      </w:pPr>
      <w:r>
        <w:t>Insurance verification (%) at time of admission (inpatient, outpatient)</w:t>
      </w:r>
    </w:p>
    <w:p w14:paraId="1D3E4BE6" w14:textId="3597AAC4" w:rsidR="005A0F05" w:rsidRDefault="005A0F05" w:rsidP="005A0F05">
      <w:pPr>
        <w:pStyle w:val="ListParagraph"/>
        <w:numPr>
          <w:ilvl w:val="0"/>
          <w:numId w:val="6"/>
        </w:numPr>
      </w:pPr>
      <w:r>
        <w:t>Average patient wait time for registration/appointment</w:t>
      </w:r>
    </w:p>
    <w:p w14:paraId="79F26EAC" w14:textId="77777777" w:rsidR="005A0F05" w:rsidRDefault="005A0F05" w:rsidP="005A0F05">
      <w:pPr>
        <w:pStyle w:val="ListParagraph"/>
        <w:numPr>
          <w:ilvl w:val="0"/>
          <w:numId w:val="6"/>
        </w:numPr>
      </w:pPr>
      <w:r>
        <w:t>Patient no-show rates</w:t>
      </w:r>
    </w:p>
    <w:p w14:paraId="648CBE8F" w14:textId="77777777" w:rsidR="005A0F05" w:rsidRDefault="005A0F05" w:rsidP="005A0F05">
      <w:pPr>
        <w:pStyle w:val="ListParagraph"/>
        <w:numPr>
          <w:ilvl w:val="0"/>
          <w:numId w:val="6"/>
        </w:numPr>
      </w:pPr>
      <w:r>
        <w:t>Denials overturned rate</w:t>
      </w:r>
    </w:p>
    <w:p w14:paraId="06775A61" w14:textId="77777777" w:rsidR="005A0F05" w:rsidRDefault="005A0F05" w:rsidP="005A0F05">
      <w:pPr>
        <w:pStyle w:val="ListParagraph"/>
        <w:numPr>
          <w:ilvl w:val="0"/>
          <w:numId w:val="6"/>
        </w:numPr>
      </w:pPr>
      <w:r>
        <w:t>Inpatient/Outpatient charts coded per day</w:t>
      </w:r>
    </w:p>
    <w:p w14:paraId="2BD2FA54" w14:textId="5150C3CC" w:rsidR="005A0F05" w:rsidRDefault="00585487" w:rsidP="002606EC">
      <w:pPr>
        <w:jc w:val="both"/>
      </w:pPr>
      <w:r>
        <w:t>Considerable improvements can be made</w:t>
      </w:r>
      <w:r w:rsidRPr="00585487">
        <w:t xml:space="preserve"> </w:t>
      </w:r>
      <w:r>
        <w:t xml:space="preserve">by tracking and measuring staff performance in areas such as these. Only by </w:t>
      </w:r>
      <w:r w:rsidR="003D6F49">
        <w:t xml:space="preserve">consistently measuring and providing staff feedback can providers make a difference in their service </w:t>
      </w:r>
      <w:r w:rsidR="002333A9">
        <w:t>level</w:t>
      </w:r>
      <w:r w:rsidR="005172B1">
        <w:t xml:space="preserve">s </w:t>
      </w:r>
      <w:r w:rsidR="003D6F49">
        <w:t>and revenue</w:t>
      </w:r>
      <w:r w:rsidR="002606EC">
        <w:t>s.</w:t>
      </w:r>
    </w:p>
    <w:p w14:paraId="633E4FA7" w14:textId="2765E5F8" w:rsidR="00143ADF" w:rsidRDefault="00143ADF" w:rsidP="002606EC">
      <w:pPr>
        <w:jc w:val="both"/>
      </w:pPr>
      <w:r>
        <w:t xml:space="preserve">Figure </w:t>
      </w:r>
      <w:r w:rsidR="00D71011">
        <w:t>5</w:t>
      </w:r>
      <w:r>
        <w:t xml:space="preserve"> shows a sample report on insurance verification </w:t>
      </w:r>
      <w:r w:rsidR="000D0A71">
        <w:t>results</w:t>
      </w:r>
      <w:r w:rsidR="00AD1F8A">
        <w:t xml:space="preserve"> for a healthcare provider.  </w:t>
      </w:r>
    </w:p>
    <w:p w14:paraId="22FF839B" w14:textId="77777777" w:rsidR="000D0A71" w:rsidRDefault="000D0A71" w:rsidP="002606EC">
      <w:pPr>
        <w:jc w:val="both"/>
      </w:pPr>
    </w:p>
    <w:p w14:paraId="0472FE42" w14:textId="661D6BB3" w:rsidR="000D0A71" w:rsidRDefault="000D0A71" w:rsidP="002606EC">
      <w:pPr>
        <w:jc w:val="both"/>
      </w:pPr>
      <w:r w:rsidRPr="000D0A71">
        <w:rPr>
          <w:noProof/>
        </w:rPr>
        <w:drawing>
          <wp:inline distT="0" distB="0" distL="0" distR="0" wp14:anchorId="07C8AF36" wp14:editId="1613A82A">
            <wp:extent cx="5943600" cy="2026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026920"/>
                    </a:xfrm>
                    <a:prstGeom prst="rect">
                      <a:avLst/>
                    </a:prstGeom>
                    <a:noFill/>
                    <a:ln>
                      <a:noFill/>
                    </a:ln>
                  </pic:spPr>
                </pic:pic>
              </a:graphicData>
            </a:graphic>
          </wp:inline>
        </w:drawing>
      </w:r>
    </w:p>
    <w:p w14:paraId="33AECFC0" w14:textId="28579197" w:rsidR="000D0A71" w:rsidRDefault="000D0A71" w:rsidP="002606EC">
      <w:pPr>
        <w:jc w:val="both"/>
        <w:rPr>
          <w:b/>
          <w:bCs/>
          <w:i/>
          <w:iCs/>
          <w:sz w:val="18"/>
          <w:szCs w:val="18"/>
        </w:rPr>
      </w:pPr>
      <w:r w:rsidRPr="000D0A71">
        <w:rPr>
          <w:b/>
          <w:bCs/>
          <w:i/>
          <w:iCs/>
          <w:sz w:val="18"/>
          <w:szCs w:val="18"/>
        </w:rPr>
        <w:t xml:space="preserve">Figure </w:t>
      </w:r>
      <w:r w:rsidR="00D71011">
        <w:rPr>
          <w:b/>
          <w:bCs/>
          <w:i/>
          <w:iCs/>
          <w:sz w:val="18"/>
          <w:szCs w:val="18"/>
        </w:rPr>
        <w:t>5</w:t>
      </w:r>
      <w:r w:rsidRPr="000D0A71">
        <w:rPr>
          <w:b/>
          <w:bCs/>
          <w:i/>
          <w:iCs/>
          <w:sz w:val="18"/>
          <w:szCs w:val="18"/>
        </w:rPr>
        <w:t xml:space="preserve"> – Insurance Verification reporting.</w:t>
      </w:r>
    </w:p>
    <w:p w14:paraId="678C19DB" w14:textId="77777777" w:rsidR="000D6E31" w:rsidRDefault="000D6E31" w:rsidP="00AF010E">
      <w:pPr>
        <w:pStyle w:val="Heading1"/>
      </w:pPr>
      <w:bookmarkStart w:id="14" w:name="_Toc45293112"/>
      <w:r>
        <w:t>Denials Management</w:t>
      </w:r>
      <w:bookmarkEnd w:id="14"/>
    </w:p>
    <w:p w14:paraId="5810E8F6" w14:textId="6BF9E70E" w:rsidR="006860FF" w:rsidRDefault="00BE222D" w:rsidP="00401069">
      <w:pPr>
        <w:jc w:val="both"/>
      </w:pPr>
      <w:r>
        <w:t>When a provider</w:t>
      </w:r>
      <w:r w:rsidR="00962E2D">
        <w:t xml:space="preserve"> </w:t>
      </w:r>
      <w:r w:rsidR="002B4DA1">
        <w:t>submits a claim for services, they expect that the claim will be honored</w:t>
      </w:r>
      <w:r w:rsidR="00340682">
        <w:t xml:space="preserve"> and paid. However, due to </w:t>
      </w:r>
      <w:r w:rsidR="00F84F72">
        <w:t xml:space="preserve">mistakes such as data entry </w:t>
      </w:r>
      <w:r w:rsidR="00340682">
        <w:t xml:space="preserve">errors, missed documentation, </w:t>
      </w:r>
      <w:r w:rsidR="00F84F72">
        <w:t xml:space="preserve">or </w:t>
      </w:r>
      <w:r w:rsidR="00B1399B">
        <w:t xml:space="preserve">even </w:t>
      </w:r>
      <w:r w:rsidR="00340682">
        <w:t xml:space="preserve">failure to follow contract terms, </w:t>
      </w:r>
      <w:r w:rsidR="00F84F72">
        <w:t>payers may deny payment</w:t>
      </w:r>
      <w:r w:rsidR="00FD4733">
        <w:t>, or in some cases pay less than the provider is expecting to receive (und</w:t>
      </w:r>
      <w:r w:rsidR="0017727D">
        <w:t>erpayment).</w:t>
      </w:r>
      <w:r w:rsidR="009B4116">
        <w:t xml:space="preserve">  A provider’s denial management program focuses on reducing the number of claims that are not paid by payers, </w:t>
      </w:r>
      <w:r w:rsidR="003669DC">
        <w:t>government programs and patients themselves.</w:t>
      </w:r>
    </w:p>
    <w:p w14:paraId="0DF6D56F" w14:textId="7F448BCC" w:rsidR="005411D3" w:rsidRDefault="005411D3" w:rsidP="005411D3">
      <w:pPr>
        <w:pStyle w:val="Heading2"/>
      </w:pPr>
      <w:bookmarkStart w:id="15" w:name="_Toc45293113"/>
      <w:r>
        <w:t>Clean Claims Ratio</w:t>
      </w:r>
      <w:bookmarkEnd w:id="15"/>
    </w:p>
    <w:p w14:paraId="03B3FBD0" w14:textId="67484165" w:rsidR="005411D3" w:rsidRDefault="005411D3" w:rsidP="00401069">
      <w:pPr>
        <w:jc w:val="both"/>
      </w:pPr>
      <w:r>
        <w:t xml:space="preserve">The clean claims ratio is the percent of claims that are paid when they are initially submitted.  </w:t>
      </w:r>
      <w:r w:rsidR="00C13D10">
        <w:t>These claims have not been rejected or denied, have not been filed previously, and have no errors</w:t>
      </w:r>
      <w:r w:rsidR="00360736">
        <w:t xml:space="preserve"> or underpayment.  It is the goal </w:t>
      </w:r>
      <w:r w:rsidR="00FC169D">
        <w:t xml:space="preserve">for a provider to have a 95% </w:t>
      </w:r>
      <w:r w:rsidR="00766FC8">
        <w:t xml:space="preserve">or better </w:t>
      </w:r>
      <w:r w:rsidR="00FC169D">
        <w:t xml:space="preserve">clean claims ratio.  </w:t>
      </w:r>
    </w:p>
    <w:p w14:paraId="5A01B2B4" w14:textId="3F1AD152" w:rsidR="008C6AF4" w:rsidRDefault="008C6AF4" w:rsidP="00401069">
      <w:pPr>
        <w:jc w:val="both"/>
      </w:pPr>
      <w:r>
        <w:t>The more claims that are processed cleanly and paid timely, the less rework required by staff</w:t>
      </w:r>
      <w:r w:rsidR="00F13597">
        <w:t>, so this is another area where root cause analysis can identify training deficiencies, process bottlenecks and other issues to target for improvement.</w:t>
      </w:r>
    </w:p>
    <w:p w14:paraId="12E3777C" w14:textId="5CA396A7" w:rsidR="00964E65" w:rsidRDefault="00737C50" w:rsidP="00964E65">
      <w:pPr>
        <w:pStyle w:val="Heading2"/>
      </w:pPr>
      <w:bookmarkStart w:id="16" w:name="_Toc45293114"/>
      <w:r>
        <w:lastRenderedPageBreak/>
        <w:t>Categorizing</w:t>
      </w:r>
      <w:r w:rsidR="00964E65" w:rsidRPr="00964E65">
        <w:t xml:space="preserve"> Denials</w:t>
      </w:r>
      <w:bookmarkEnd w:id="16"/>
    </w:p>
    <w:p w14:paraId="35C78E18" w14:textId="4892D7C1" w:rsidR="008775B1" w:rsidRDefault="005A3E26" w:rsidP="003C1337">
      <w:pPr>
        <w:jc w:val="both"/>
        <w:rPr>
          <w:shd w:val="clear" w:color="auto" w:fill="FFFFFF"/>
        </w:rPr>
      </w:pPr>
      <w:r w:rsidRPr="008775B1">
        <w:rPr>
          <w:b/>
          <w:bCs/>
          <w:shd w:val="clear" w:color="auto" w:fill="FFFFFF"/>
        </w:rPr>
        <w:t>T</w:t>
      </w:r>
      <w:r w:rsidR="00964E65" w:rsidRPr="008775B1">
        <w:rPr>
          <w:b/>
          <w:bCs/>
          <w:shd w:val="clear" w:color="auto" w:fill="FFFFFF"/>
        </w:rPr>
        <w:t>echnical denials</w:t>
      </w:r>
      <w:r>
        <w:rPr>
          <w:shd w:val="clear" w:color="auto" w:fill="FFFFFF"/>
        </w:rPr>
        <w:t xml:space="preserve"> </w:t>
      </w:r>
      <w:r w:rsidR="008775B1">
        <w:rPr>
          <w:shd w:val="clear" w:color="auto" w:fill="FFFFFF"/>
        </w:rPr>
        <w:t>–</w:t>
      </w:r>
      <w:r>
        <w:rPr>
          <w:shd w:val="clear" w:color="auto" w:fill="FFFFFF"/>
        </w:rPr>
        <w:t xml:space="preserve"> </w:t>
      </w:r>
      <w:r w:rsidR="008775B1">
        <w:rPr>
          <w:shd w:val="clear" w:color="auto" w:fill="FFFFFF"/>
        </w:rPr>
        <w:t xml:space="preserve">Claims denied due to some type of administrative error.  This may include inaccurate or missing demographic data, billing or coding errors, </w:t>
      </w:r>
      <w:r w:rsidR="0091307E">
        <w:rPr>
          <w:shd w:val="clear" w:color="auto" w:fill="FFFFFF"/>
        </w:rPr>
        <w:t xml:space="preserve">missing </w:t>
      </w:r>
      <w:r w:rsidR="008775B1">
        <w:rPr>
          <w:shd w:val="clear" w:color="auto" w:fill="FFFFFF"/>
        </w:rPr>
        <w:t xml:space="preserve">authorization, </w:t>
      </w:r>
      <w:r w:rsidR="003153B4">
        <w:rPr>
          <w:shd w:val="clear" w:color="auto" w:fill="FFFFFF"/>
        </w:rPr>
        <w:t>patient in</w:t>
      </w:r>
      <w:r w:rsidR="008775B1">
        <w:rPr>
          <w:shd w:val="clear" w:color="auto" w:fill="FFFFFF"/>
        </w:rPr>
        <w:t>eligibility</w:t>
      </w:r>
      <w:r w:rsidR="003153B4">
        <w:rPr>
          <w:shd w:val="clear" w:color="auto" w:fill="FFFFFF"/>
        </w:rPr>
        <w:t xml:space="preserve"> </w:t>
      </w:r>
      <w:r w:rsidR="008775B1">
        <w:rPr>
          <w:shd w:val="clear" w:color="auto" w:fill="FFFFFF"/>
        </w:rPr>
        <w:t>or duplicate filings.</w:t>
      </w:r>
    </w:p>
    <w:p w14:paraId="799375A0" w14:textId="53329047" w:rsidR="008775B1" w:rsidRDefault="008775B1" w:rsidP="003C1337">
      <w:pPr>
        <w:jc w:val="both"/>
        <w:rPr>
          <w:shd w:val="clear" w:color="auto" w:fill="FFFFFF"/>
        </w:rPr>
      </w:pPr>
      <w:r w:rsidRPr="008775B1">
        <w:rPr>
          <w:b/>
          <w:bCs/>
          <w:shd w:val="clear" w:color="auto" w:fill="FFFFFF"/>
        </w:rPr>
        <w:t>M</w:t>
      </w:r>
      <w:r w:rsidR="00964E65" w:rsidRPr="008775B1">
        <w:rPr>
          <w:b/>
          <w:bCs/>
          <w:shd w:val="clear" w:color="auto" w:fill="FFFFFF"/>
        </w:rPr>
        <w:t>edical</w:t>
      </w:r>
      <w:r w:rsidR="0078782A">
        <w:rPr>
          <w:b/>
          <w:bCs/>
          <w:shd w:val="clear" w:color="auto" w:fill="FFFFFF"/>
        </w:rPr>
        <w:t xml:space="preserve"> </w:t>
      </w:r>
      <w:r w:rsidR="00964E65" w:rsidRPr="008775B1">
        <w:rPr>
          <w:b/>
          <w:bCs/>
          <w:shd w:val="clear" w:color="auto" w:fill="FFFFFF"/>
        </w:rPr>
        <w:t>denials</w:t>
      </w:r>
      <w:r>
        <w:rPr>
          <w:shd w:val="clear" w:color="auto" w:fill="FFFFFF"/>
        </w:rPr>
        <w:t xml:space="preserve"> </w:t>
      </w:r>
      <w:r w:rsidR="00B6700B">
        <w:rPr>
          <w:shd w:val="clear" w:color="auto" w:fill="FFFFFF"/>
        </w:rPr>
        <w:t>–</w:t>
      </w:r>
      <w:r>
        <w:rPr>
          <w:shd w:val="clear" w:color="auto" w:fill="FFFFFF"/>
        </w:rPr>
        <w:t xml:space="preserve"> </w:t>
      </w:r>
      <w:r w:rsidR="00B6700B">
        <w:rPr>
          <w:shd w:val="clear" w:color="auto" w:fill="FFFFFF"/>
        </w:rPr>
        <w:t xml:space="preserve">Claims denied for medical </w:t>
      </w:r>
      <w:r w:rsidR="00AC0925">
        <w:rPr>
          <w:shd w:val="clear" w:color="auto" w:fill="FFFFFF"/>
        </w:rPr>
        <w:t xml:space="preserve">necessity reasons.  </w:t>
      </w:r>
    </w:p>
    <w:p w14:paraId="41DF9E78" w14:textId="225AE5E6" w:rsidR="00A73055" w:rsidRDefault="00F877FA" w:rsidP="003C1337">
      <w:pPr>
        <w:jc w:val="both"/>
        <w:rPr>
          <w:shd w:val="clear" w:color="auto" w:fill="FFFFFF"/>
        </w:rPr>
      </w:pPr>
      <w:r w:rsidRPr="00F877FA">
        <w:rPr>
          <w:b/>
          <w:bCs/>
          <w:shd w:val="clear" w:color="auto" w:fill="FFFFFF"/>
        </w:rPr>
        <w:t>P</w:t>
      </w:r>
      <w:r w:rsidR="00964E65" w:rsidRPr="00F877FA">
        <w:rPr>
          <w:b/>
          <w:bCs/>
          <w:shd w:val="clear" w:color="auto" w:fill="FFFFFF"/>
        </w:rPr>
        <w:t xml:space="preserve">artial </w:t>
      </w:r>
      <w:r w:rsidR="00093C82">
        <w:rPr>
          <w:b/>
          <w:bCs/>
          <w:shd w:val="clear" w:color="auto" w:fill="FFFFFF"/>
        </w:rPr>
        <w:t>p</w:t>
      </w:r>
      <w:r w:rsidR="00964E65" w:rsidRPr="00F877FA">
        <w:rPr>
          <w:b/>
          <w:bCs/>
          <w:shd w:val="clear" w:color="auto" w:fill="FFFFFF"/>
        </w:rPr>
        <w:t>ayments</w:t>
      </w:r>
      <w:r w:rsidR="00C36E4E">
        <w:rPr>
          <w:b/>
          <w:bCs/>
          <w:shd w:val="clear" w:color="auto" w:fill="FFFFFF"/>
        </w:rPr>
        <w:t xml:space="preserve"> or </w:t>
      </w:r>
      <w:r w:rsidR="00093C82">
        <w:rPr>
          <w:b/>
          <w:bCs/>
          <w:shd w:val="clear" w:color="auto" w:fill="FFFFFF"/>
        </w:rPr>
        <w:t>d</w:t>
      </w:r>
      <w:r w:rsidR="00C36E4E">
        <w:rPr>
          <w:b/>
          <w:bCs/>
          <w:shd w:val="clear" w:color="auto" w:fill="FFFFFF"/>
        </w:rPr>
        <w:t>iscrepancies</w:t>
      </w:r>
      <w:r w:rsidR="00A73055">
        <w:rPr>
          <w:shd w:val="clear" w:color="auto" w:fill="FFFFFF"/>
        </w:rPr>
        <w:t xml:space="preserve"> (</w:t>
      </w:r>
      <w:r>
        <w:rPr>
          <w:shd w:val="clear" w:color="auto" w:fill="FFFFFF"/>
        </w:rPr>
        <w:t xml:space="preserve">typically </w:t>
      </w:r>
      <w:r w:rsidR="00A73055">
        <w:rPr>
          <w:shd w:val="clear" w:color="auto" w:fill="FFFFFF"/>
        </w:rPr>
        <w:t xml:space="preserve">underpayment) </w:t>
      </w:r>
      <w:r w:rsidR="00EF127A">
        <w:rPr>
          <w:shd w:val="clear" w:color="auto" w:fill="FFFFFF"/>
        </w:rPr>
        <w:t>–</w:t>
      </w:r>
      <w:r w:rsidR="00A73055">
        <w:rPr>
          <w:shd w:val="clear" w:color="auto" w:fill="FFFFFF"/>
        </w:rPr>
        <w:t xml:space="preserve"> </w:t>
      </w:r>
      <w:r w:rsidR="00EF127A">
        <w:rPr>
          <w:shd w:val="clear" w:color="auto" w:fill="FFFFFF"/>
        </w:rPr>
        <w:t>Typically caused by contract misinterpretation or coding errors.</w:t>
      </w:r>
    </w:p>
    <w:p w14:paraId="182B4DA9" w14:textId="37FCC176" w:rsidR="00A90DB6" w:rsidRPr="00B41C01" w:rsidRDefault="00A90DB6" w:rsidP="003C1337">
      <w:pPr>
        <w:jc w:val="both"/>
        <w:rPr>
          <w:shd w:val="clear" w:color="auto" w:fill="FFFFFF"/>
        </w:rPr>
      </w:pPr>
      <w:r w:rsidRPr="00B41C01">
        <w:rPr>
          <w:b/>
          <w:bCs/>
          <w:shd w:val="clear" w:color="auto" w:fill="FFFFFF"/>
        </w:rPr>
        <w:t>C</w:t>
      </w:r>
      <w:r w:rsidR="00964E65" w:rsidRPr="00B41C01">
        <w:rPr>
          <w:b/>
          <w:bCs/>
          <w:shd w:val="clear" w:color="auto" w:fill="FFFFFF"/>
        </w:rPr>
        <w:t>laim suspensions</w:t>
      </w:r>
      <w:r w:rsidR="00B41C01">
        <w:rPr>
          <w:b/>
          <w:bCs/>
          <w:shd w:val="clear" w:color="auto" w:fill="FFFFFF"/>
        </w:rPr>
        <w:t xml:space="preserve"> –</w:t>
      </w:r>
      <w:r w:rsidR="00B41C01">
        <w:rPr>
          <w:shd w:val="clear" w:color="auto" w:fill="FFFFFF"/>
        </w:rPr>
        <w:t xml:space="preserve"> The claim is placed “on hold” pending a review</w:t>
      </w:r>
      <w:r w:rsidR="0078782A">
        <w:rPr>
          <w:shd w:val="clear" w:color="auto" w:fill="FFFFFF"/>
        </w:rPr>
        <w:t xml:space="preserve"> by the payer.  Reviews are initiated by payers when there have been several errors on claims submitted by the provider.  The payer will not process and make payment until the reviews are completed.</w:t>
      </w:r>
    </w:p>
    <w:p w14:paraId="2893098D" w14:textId="0B3439EB" w:rsidR="00964E65" w:rsidRDefault="00A90DB6" w:rsidP="003C1337">
      <w:pPr>
        <w:jc w:val="both"/>
        <w:rPr>
          <w:shd w:val="clear" w:color="auto" w:fill="FFFFFF"/>
        </w:rPr>
      </w:pPr>
      <w:r w:rsidRPr="00855C78">
        <w:rPr>
          <w:b/>
          <w:bCs/>
          <w:shd w:val="clear" w:color="auto" w:fill="FFFFFF"/>
        </w:rPr>
        <w:t>L</w:t>
      </w:r>
      <w:r w:rsidR="00964E65" w:rsidRPr="00855C78">
        <w:rPr>
          <w:b/>
          <w:bCs/>
          <w:shd w:val="clear" w:color="auto" w:fill="FFFFFF"/>
        </w:rPr>
        <w:t xml:space="preserve">ate </w:t>
      </w:r>
      <w:r w:rsidR="00C115D0">
        <w:rPr>
          <w:b/>
          <w:bCs/>
          <w:shd w:val="clear" w:color="auto" w:fill="FFFFFF"/>
        </w:rPr>
        <w:t>p</w:t>
      </w:r>
      <w:r w:rsidR="00964E65" w:rsidRPr="00855C78">
        <w:rPr>
          <w:b/>
          <w:bCs/>
          <w:shd w:val="clear" w:color="auto" w:fill="FFFFFF"/>
        </w:rPr>
        <w:t>ayments</w:t>
      </w:r>
      <w:r w:rsidR="00855C78">
        <w:rPr>
          <w:shd w:val="clear" w:color="auto" w:fill="FFFFFF"/>
        </w:rPr>
        <w:t xml:space="preserve"> – Payment takes longer than anticipated, reducing cash flow.</w:t>
      </w:r>
      <w:r w:rsidR="003824B8">
        <w:rPr>
          <w:shd w:val="clear" w:color="auto" w:fill="FFFFFF"/>
        </w:rPr>
        <w:t xml:space="preserve">  Providers should review contract terms to ensure they are in compliance, as well as local and state laws regarding prompt payment.</w:t>
      </w:r>
    </w:p>
    <w:p w14:paraId="5535F08A" w14:textId="57385EA0" w:rsidR="005411D3" w:rsidRDefault="005411D3" w:rsidP="005411D3">
      <w:pPr>
        <w:pStyle w:val="Heading2"/>
      </w:pPr>
      <w:bookmarkStart w:id="17" w:name="_Toc45293115"/>
      <w:r>
        <w:t>Managing Denials</w:t>
      </w:r>
      <w:bookmarkEnd w:id="17"/>
    </w:p>
    <w:p w14:paraId="301127AF" w14:textId="77908158" w:rsidR="008B3A8B" w:rsidRDefault="008B3A8B" w:rsidP="00401069">
      <w:pPr>
        <w:jc w:val="both"/>
      </w:pPr>
      <w:r>
        <w:t xml:space="preserve">Providers must actively track </w:t>
      </w:r>
      <w:r w:rsidR="00C230ED">
        <w:t>denied</w:t>
      </w:r>
      <w:r w:rsidR="00FD4733">
        <w:t xml:space="preserve"> claims </w:t>
      </w:r>
      <w:r w:rsidR="0017727D">
        <w:t>to quick</w:t>
      </w:r>
      <w:r w:rsidR="00C230ED">
        <w:t>ly</w:t>
      </w:r>
      <w:r w:rsidR="0017727D">
        <w:t xml:space="preserve"> resolve issues and resubmit the claims to the payer.  But how </w:t>
      </w:r>
      <w:r w:rsidR="004241AC">
        <w:t xml:space="preserve">does staff know what actions to take, and more importantly, how to avoid this from happening on future claims?  </w:t>
      </w:r>
    </w:p>
    <w:p w14:paraId="7D0202EC" w14:textId="3F901B90" w:rsidR="00B1399B" w:rsidRDefault="006D2F55" w:rsidP="00401069">
      <w:pPr>
        <w:jc w:val="both"/>
      </w:pPr>
      <w:r w:rsidRPr="004D2A0A">
        <w:rPr>
          <w:noProof/>
        </w:rPr>
        <w:drawing>
          <wp:anchor distT="0" distB="0" distL="114300" distR="114300" simplePos="0" relativeHeight="251663360" behindDoc="0" locked="0" layoutInCell="1" allowOverlap="1" wp14:anchorId="2747B9C1" wp14:editId="36D6399A">
            <wp:simplePos x="0" y="0"/>
            <wp:positionH relativeFrom="column">
              <wp:posOffset>3695700</wp:posOffset>
            </wp:positionH>
            <wp:positionV relativeFrom="paragraph">
              <wp:posOffset>449580</wp:posOffset>
            </wp:positionV>
            <wp:extent cx="2627630" cy="1378585"/>
            <wp:effectExtent l="0" t="0" r="1270" b="0"/>
            <wp:wrapSquare wrapText="bothSides"/>
            <wp:docPr id="7" name="Picture 4">
              <a:extLst xmlns:a="http://schemas.openxmlformats.org/drawingml/2006/main">
                <a:ext uri="{FF2B5EF4-FFF2-40B4-BE49-F238E27FC236}">
                  <a16:creationId xmlns:a16="http://schemas.microsoft.com/office/drawing/2014/main" id="{D64B97A1-01C9-4A01-92AC-C5C529BFC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64B97A1-01C9-4A01-92AC-C5C529BFC647}"/>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627630" cy="1378585"/>
                    </a:xfrm>
                    <a:prstGeom prst="rect">
                      <a:avLst/>
                    </a:prstGeom>
                  </pic:spPr>
                </pic:pic>
              </a:graphicData>
            </a:graphic>
            <wp14:sizeRelH relativeFrom="margin">
              <wp14:pctWidth>0</wp14:pctWidth>
            </wp14:sizeRelH>
            <wp14:sizeRelV relativeFrom="margin">
              <wp14:pctHeight>0</wp14:pctHeight>
            </wp14:sizeRelV>
          </wp:anchor>
        </w:drawing>
      </w:r>
      <w:r w:rsidR="00613E47">
        <w:t xml:space="preserve">Revenue cycle staff must measure how frequently and why denials occur.  </w:t>
      </w:r>
      <w:r w:rsidR="00A85D1D">
        <w:t xml:space="preserve">A </w:t>
      </w:r>
      <w:r w:rsidR="009013ED">
        <w:t>root cause analysis of denials is key to identify potential process issues and develop solutions to resolve them.  Some reasons for denials may include:</w:t>
      </w:r>
    </w:p>
    <w:p w14:paraId="405589D1" w14:textId="7E6F8B04" w:rsidR="009013ED" w:rsidRDefault="00433522" w:rsidP="00433522">
      <w:pPr>
        <w:pStyle w:val="ListParagraph"/>
        <w:numPr>
          <w:ilvl w:val="0"/>
          <w:numId w:val="4"/>
        </w:numPr>
        <w:jc w:val="both"/>
      </w:pPr>
      <w:r>
        <w:t>Duplicate claim filed</w:t>
      </w:r>
    </w:p>
    <w:p w14:paraId="18351330" w14:textId="3A751453" w:rsidR="00433522" w:rsidRDefault="00433522" w:rsidP="00433522">
      <w:pPr>
        <w:pStyle w:val="ListParagraph"/>
        <w:numPr>
          <w:ilvl w:val="0"/>
          <w:numId w:val="4"/>
        </w:numPr>
        <w:jc w:val="both"/>
      </w:pPr>
      <w:r>
        <w:t>Service not covered by patient’s plan</w:t>
      </w:r>
    </w:p>
    <w:p w14:paraId="38997C62" w14:textId="7DC9DE57" w:rsidR="00433522" w:rsidRDefault="00433522" w:rsidP="00433522">
      <w:pPr>
        <w:pStyle w:val="ListParagraph"/>
        <w:numPr>
          <w:ilvl w:val="0"/>
          <w:numId w:val="4"/>
        </w:numPr>
        <w:jc w:val="both"/>
      </w:pPr>
      <w:r>
        <w:t>Incorrect or incomplete information</w:t>
      </w:r>
    </w:p>
    <w:p w14:paraId="4463BCC5" w14:textId="4794E31E" w:rsidR="00433522" w:rsidRDefault="00433522" w:rsidP="00433522">
      <w:pPr>
        <w:pStyle w:val="ListParagraph"/>
        <w:numPr>
          <w:ilvl w:val="0"/>
          <w:numId w:val="4"/>
        </w:numPr>
        <w:jc w:val="both"/>
      </w:pPr>
      <w:r>
        <w:t>Patient not covered by plan</w:t>
      </w:r>
    </w:p>
    <w:p w14:paraId="0D75C9C5" w14:textId="2A6E3541" w:rsidR="00433522" w:rsidRDefault="00433522" w:rsidP="00433522">
      <w:pPr>
        <w:pStyle w:val="ListParagraph"/>
        <w:numPr>
          <w:ilvl w:val="0"/>
          <w:numId w:val="4"/>
        </w:numPr>
        <w:jc w:val="both"/>
      </w:pPr>
      <w:r>
        <w:t>Pre-certification or pre-authorization not obtained</w:t>
      </w:r>
    </w:p>
    <w:p w14:paraId="5F4CD37E" w14:textId="3D9BA7A8" w:rsidR="00433522" w:rsidRDefault="00433522" w:rsidP="00433522">
      <w:pPr>
        <w:pStyle w:val="ListParagraph"/>
        <w:numPr>
          <w:ilvl w:val="0"/>
          <w:numId w:val="4"/>
        </w:numPr>
        <w:jc w:val="both"/>
      </w:pPr>
      <w:r>
        <w:t>Not medically necessary</w:t>
      </w:r>
    </w:p>
    <w:p w14:paraId="2FF47AB4" w14:textId="0685C4E4" w:rsidR="00433522" w:rsidRDefault="00433522" w:rsidP="00433522">
      <w:pPr>
        <w:pStyle w:val="ListParagraph"/>
        <w:numPr>
          <w:ilvl w:val="0"/>
          <w:numId w:val="4"/>
        </w:numPr>
        <w:jc w:val="both"/>
      </w:pPr>
      <w:r>
        <w:t>Untimely filing (past</w:t>
      </w:r>
      <w:r w:rsidR="001562B5">
        <w:t xml:space="preserve"> deadline to submit)</w:t>
      </w:r>
    </w:p>
    <w:p w14:paraId="54DF02DE" w14:textId="0B881ACC" w:rsidR="001562B5" w:rsidRDefault="001562B5" w:rsidP="00433522">
      <w:pPr>
        <w:pStyle w:val="ListParagraph"/>
        <w:numPr>
          <w:ilvl w:val="0"/>
          <w:numId w:val="4"/>
        </w:numPr>
        <w:jc w:val="both"/>
      </w:pPr>
      <w:r>
        <w:t>Diagnosis incorrect or inconsistent with documentation</w:t>
      </w:r>
    </w:p>
    <w:p w14:paraId="29474866" w14:textId="4107B807" w:rsidR="001562B5" w:rsidRDefault="001562B5" w:rsidP="001562B5">
      <w:pPr>
        <w:jc w:val="both"/>
      </w:pPr>
      <w:r>
        <w:t>Another way to review the info</w:t>
      </w:r>
      <w:r w:rsidR="00F422BE">
        <w:t xml:space="preserve">rmation is to </w:t>
      </w:r>
      <w:r w:rsidR="00C230ED">
        <w:t xml:space="preserve">segregate by </w:t>
      </w:r>
      <w:r w:rsidR="00F422BE">
        <w:t xml:space="preserve">payer and determine if there is a pattern with certain payers as well.  </w:t>
      </w:r>
    </w:p>
    <w:p w14:paraId="06695054" w14:textId="4613ABB0" w:rsidR="006D2F55" w:rsidRDefault="006D2F55" w:rsidP="001562B5">
      <w:pPr>
        <w:jc w:val="both"/>
      </w:pPr>
      <w:r>
        <w:t xml:space="preserve">The data must be tracked and analyzed </w:t>
      </w:r>
      <w:r w:rsidR="009C4CD1">
        <w:t xml:space="preserve">as soon as denials are received so they can be resolved and resubmitted, if appropriate.  </w:t>
      </w:r>
      <w:r w:rsidR="00B85160">
        <w:t>Other actions include redesigning processes to avoid problems from recurring.  One example is untimely/late filings</w:t>
      </w:r>
      <w:r w:rsidR="004C379B">
        <w:t>; s</w:t>
      </w:r>
      <w:r w:rsidR="00B85160">
        <w:t xml:space="preserve">taff must be aware of deadlines by payer contract and ensure that the claims are submitted by the time designated.  </w:t>
      </w:r>
      <w:r w:rsidR="00564CC1">
        <w:t>Another example is patients no longer qualifying for a plan (perhaps due to change in employment, life event, etc.).  This is where a process improvement effort can</w:t>
      </w:r>
      <w:r w:rsidR="00DD33EA">
        <w:t xml:space="preserve"> ensure that admissions staff are checking for insurance eli</w:t>
      </w:r>
      <w:r w:rsidR="006266C0">
        <w:t>gi</w:t>
      </w:r>
      <w:r w:rsidR="00DD33EA">
        <w:t>bili</w:t>
      </w:r>
      <w:r w:rsidR="006266C0">
        <w:t xml:space="preserve">ty at time of service and not letting that practice lapse.  </w:t>
      </w:r>
    </w:p>
    <w:p w14:paraId="52CEF596" w14:textId="31B9AD94" w:rsidR="003E03D0" w:rsidRDefault="003E03D0" w:rsidP="001562B5">
      <w:pPr>
        <w:jc w:val="both"/>
      </w:pPr>
      <w:r>
        <w:lastRenderedPageBreak/>
        <w:t>Another way to view denials is to look for trends</w:t>
      </w:r>
      <w:r w:rsidR="008F7671">
        <w:t xml:space="preserve">:  </w:t>
      </w:r>
      <w:r w:rsidR="004A3889">
        <w:t xml:space="preserve">Are occurrences or dollars increasing or decreasing?  And is that for a </w:t>
      </w:r>
      <w:r w:rsidR="00EF25B6">
        <w:t>specific</w:t>
      </w:r>
      <w:r w:rsidR="004A3889">
        <w:t xml:space="preserve"> denial category or payer?  </w:t>
      </w:r>
      <w:r w:rsidR="008F7671">
        <w:t>Can a reason be identified?</w:t>
      </w:r>
    </w:p>
    <w:p w14:paraId="61E4E06F" w14:textId="133AEBB1" w:rsidR="008F7671" w:rsidRDefault="008F7671" w:rsidP="008F7671">
      <w:pPr>
        <w:jc w:val="both"/>
      </w:pPr>
      <w:r>
        <w:t xml:space="preserve">Example:  Rural </w:t>
      </w:r>
      <w:r w:rsidRPr="008F7671">
        <w:t>Hospital discovered a high number of denials for newborns due to lack of eligibility. After further investigation, it became clear that newborns were being denied coverage because they were not added to the family insurance policy within 30 days.</w:t>
      </w:r>
      <w:r>
        <w:t xml:space="preserve">  </w:t>
      </w:r>
      <w:r w:rsidR="0063473D">
        <w:t>The hospital used case management workers to ensure the newborn was added prior to leaving the hospital.</w:t>
      </w:r>
    </w:p>
    <w:p w14:paraId="1826CB8C" w14:textId="55420C76" w:rsidR="006860FF" w:rsidRDefault="00415664" w:rsidP="00415664">
      <w:pPr>
        <w:pStyle w:val="Heading2"/>
      </w:pPr>
      <w:bookmarkStart w:id="18" w:name="_Toc45293116"/>
      <w:r>
        <w:t>RAC Audits</w:t>
      </w:r>
      <w:bookmarkEnd w:id="18"/>
    </w:p>
    <w:p w14:paraId="215E2E45" w14:textId="23F56845" w:rsidR="00415664" w:rsidRPr="00415664" w:rsidRDefault="00980A2E" w:rsidP="00B1495A">
      <w:pPr>
        <w:jc w:val="both"/>
      </w:pPr>
      <w:r>
        <w:t>Through legislation passed by Congress</w:t>
      </w:r>
      <w:r w:rsidR="00DF5857">
        <w:t xml:space="preserve"> under the Medicare Modernization Act of 2003</w:t>
      </w:r>
      <w:r>
        <w:t xml:space="preserve">, The Centers for Medicare and Medicaid Services (CMS) </w:t>
      </w:r>
      <w:r w:rsidR="008C78B8">
        <w:t xml:space="preserve">were </w:t>
      </w:r>
      <w:r w:rsidR="00AD6FD9">
        <w:t>authorized to implement a nationwide Recovery Audit program, which review</w:t>
      </w:r>
      <w:r w:rsidR="00A44878">
        <w:t>s</w:t>
      </w:r>
      <w:r w:rsidR="00AD6FD9">
        <w:t xml:space="preserve"> claims submitted to Medicare and Medicaid in order to uncover </w:t>
      </w:r>
      <w:r w:rsidR="001F2979">
        <w:t xml:space="preserve">any errors or overpayments in these claims.  </w:t>
      </w:r>
      <w:r w:rsidR="00EE228F">
        <w:t>CMS hires Recovery Auditor</w:t>
      </w:r>
      <w:r w:rsidR="00DF5857">
        <w:t xml:space="preserve"> Contractors (RACs) </w:t>
      </w:r>
      <w:r w:rsidR="00EE228F">
        <w:t>who are paid on a contingency basis (a portion of the recovered claims dollars)</w:t>
      </w:r>
      <w:r w:rsidR="00B20ED8">
        <w:t xml:space="preserve"> to identify and correct any improper payments</w:t>
      </w:r>
      <w:r w:rsidR="004B4609">
        <w:t xml:space="preserve"> so CMS can avoid future improper payments on claims.  </w:t>
      </w:r>
    </w:p>
    <w:p w14:paraId="130C38F1" w14:textId="1BC60E7E" w:rsidR="00E91CC7" w:rsidRPr="00E91CC7" w:rsidRDefault="000D6E31" w:rsidP="00AF010E">
      <w:pPr>
        <w:pStyle w:val="Heading1"/>
      </w:pPr>
      <w:bookmarkStart w:id="19" w:name="_Toc45293117"/>
      <w:r>
        <w:t xml:space="preserve">Other </w:t>
      </w:r>
      <w:r w:rsidR="00E91CC7" w:rsidRPr="00E91CC7">
        <w:t>Best Practices</w:t>
      </w:r>
      <w:bookmarkEnd w:id="19"/>
    </w:p>
    <w:p w14:paraId="2FAE5358" w14:textId="4511CB66" w:rsidR="00E91CC7" w:rsidRDefault="00963AA0" w:rsidP="00AC4EA4">
      <w:pPr>
        <w:pStyle w:val="Heading2"/>
      </w:pPr>
      <w:bookmarkStart w:id="20" w:name="_Toc45293118"/>
      <w:r>
        <w:t>Automation</w:t>
      </w:r>
      <w:bookmarkEnd w:id="20"/>
    </w:p>
    <w:p w14:paraId="56B4DB39" w14:textId="03FA7116" w:rsidR="00AC4EA4" w:rsidRDefault="00214743" w:rsidP="008A4EC0">
      <w:pPr>
        <w:jc w:val="both"/>
      </w:pPr>
      <w:r>
        <w:t xml:space="preserve">In many cases, technology can </w:t>
      </w:r>
      <w:r w:rsidR="004D515E">
        <w:t>improve and modernize the healthcare</w:t>
      </w:r>
      <w:r w:rsidR="004342FD">
        <w:t xml:space="preserve"> revenue cycle, while also creating a better patient experience.  </w:t>
      </w:r>
      <w:r w:rsidR="008A4EC0">
        <w:t xml:space="preserve">However, technology typically comes with a high price tag, and not all providers can afford them.  </w:t>
      </w:r>
      <w:r w:rsidR="00D96698">
        <w:t xml:space="preserve">But following are some </w:t>
      </w:r>
      <w:r w:rsidR="0059500D">
        <w:t xml:space="preserve">examples </w:t>
      </w:r>
      <w:r w:rsidR="00D96698">
        <w:t>areas that can benefit from technology improvements</w:t>
      </w:r>
      <w:r w:rsidR="00253D7D">
        <w:t>, both patient</w:t>
      </w:r>
      <w:r w:rsidR="005B74C6">
        <w:t>-</w:t>
      </w:r>
      <w:r w:rsidR="00253D7D">
        <w:t>facing and operationally focused</w:t>
      </w:r>
      <w:r w:rsidR="00D96698">
        <w:t>:</w:t>
      </w:r>
    </w:p>
    <w:p w14:paraId="4091612D" w14:textId="0C5EF75C" w:rsidR="00D96698" w:rsidRDefault="00253D7D" w:rsidP="00D96698">
      <w:pPr>
        <w:pStyle w:val="ListParagraph"/>
        <w:numPr>
          <w:ilvl w:val="0"/>
          <w:numId w:val="7"/>
        </w:numPr>
        <w:jc w:val="both"/>
      </w:pPr>
      <w:r>
        <w:t>C</w:t>
      </w:r>
      <w:r w:rsidR="00512EA5">
        <w:t>ost estimator tools</w:t>
      </w:r>
      <w:r>
        <w:t xml:space="preserve"> </w:t>
      </w:r>
      <w:r w:rsidR="00512EA5">
        <w:t xml:space="preserve">– many providers have created a portal </w:t>
      </w:r>
      <w:r w:rsidR="0059500D">
        <w:t xml:space="preserve">on their web sites to help patients estimate the cost of a procedure or </w:t>
      </w:r>
      <w:r w:rsidR="00B436A7">
        <w:t xml:space="preserve">care, splitting </w:t>
      </w:r>
      <w:r w:rsidR="00694AF7">
        <w:t xml:space="preserve">patient out-of-pocket and </w:t>
      </w:r>
      <w:r w:rsidR="00B436A7">
        <w:t>insurance/</w:t>
      </w:r>
      <w:r w:rsidR="00694AF7">
        <w:t>payer costs.</w:t>
      </w:r>
      <w:r w:rsidR="0090211D">
        <w:t xml:space="preserve">  These can be extended to help with co-pays and other payment arrangements.</w:t>
      </w:r>
    </w:p>
    <w:p w14:paraId="6AEF756B" w14:textId="22DC3ED2" w:rsidR="00512EA5" w:rsidRDefault="00B50579" w:rsidP="00D96698">
      <w:pPr>
        <w:pStyle w:val="ListParagraph"/>
        <w:numPr>
          <w:ilvl w:val="0"/>
          <w:numId w:val="7"/>
        </w:numPr>
        <w:jc w:val="both"/>
      </w:pPr>
      <w:r>
        <w:t xml:space="preserve">Patient portals to allow </w:t>
      </w:r>
      <w:r w:rsidR="0090682E">
        <w:t xml:space="preserve">appointment </w:t>
      </w:r>
      <w:r>
        <w:t xml:space="preserve">scheduling, </w:t>
      </w:r>
      <w:r w:rsidR="005820ED">
        <w:t xml:space="preserve">view </w:t>
      </w:r>
      <w:r w:rsidR="00240FED">
        <w:t>test results,</w:t>
      </w:r>
      <w:r w:rsidR="007823A5">
        <w:t xml:space="preserve"> access medical history and records</w:t>
      </w:r>
      <w:r w:rsidR="003B5335">
        <w:t>, pay medical bills, and communicate with physicians through email and texting.</w:t>
      </w:r>
    </w:p>
    <w:p w14:paraId="0661B6FC" w14:textId="3B0C3364" w:rsidR="005442ED" w:rsidRDefault="005442ED" w:rsidP="00D96698">
      <w:pPr>
        <w:pStyle w:val="ListParagraph"/>
        <w:numPr>
          <w:ilvl w:val="0"/>
          <w:numId w:val="7"/>
        </w:numPr>
        <w:jc w:val="both"/>
      </w:pPr>
      <w:r>
        <w:t>Apps to conduct tele-health sessions with doctors</w:t>
      </w:r>
      <w:r w:rsidR="0012272F">
        <w:t>.</w:t>
      </w:r>
    </w:p>
    <w:p w14:paraId="5E1C51BE" w14:textId="2B2C2753" w:rsidR="0012272F" w:rsidRDefault="00CC0185" w:rsidP="00D96698">
      <w:pPr>
        <w:pStyle w:val="ListParagraph"/>
        <w:numPr>
          <w:ilvl w:val="0"/>
          <w:numId w:val="7"/>
        </w:numPr>
        <w:jc w:val="both"/>
      </w:pPr>
      <w:r>
        <w:t>Artificial intelligence solutions to improve coding and clinical documentation (and avoid denials and underpayments).</w:t>
      </w:r>
    </w:p>
    <w:p w14:paraId="57ED60C2" w14:textId="268F38E2" w:rsidR="00CC0185" w:rsidRDefault="00A23740" w:rsidP="00D96698">
      <w:pPr>
        <w:pStyle w:val="ListParagraph"/>
        <w:numPr>
          <w:ilvl w:val="0"/>
          <w:numId w:val="7"/>
        </w:numPr>
        <w:jc w:val="both"/>
      </w:pPr>
      <w:r>
        <w:t>Claims management and b</w:t>
      </w:r>
      <w:r w:rsidR="00581CDC">
        <w:t>usiness intelligence tools to</w:t>
      </w:r>
      <w:r w:rsidR="00566BE1">
        <w:t xml:space="preserve"> determine </w:t>
      </w:r>
      <w:r>
        <w:t xml:space="preserve">and </w:t>
      </w:r>
      <w:r w:rsidR="001D5720">
        <w:t xml:space="preserve">fix </w:t>
      </w:r>
      <w:r w:rsidR="00566BE1">
        <w:t>root causes of denials and underpayments</w:t>
      </w:r>
      <w:r>
        <w:t>.</w:t>
      </w:r>
    </w:p>
    <w:p w14:paraId="1815DF58" w14:textId="3C2DF3AD" w:rsidR="005442ED" w:rsidRDefault="001D5720" w:rsidP="00D96698">
      <w:pPr>
        <w:pStyle w:val="ListParagraph"/>
        <w:numPr>
          <w:ilvl w:val="0"/>
          <w:numId w:val="7"/>
        </w:numPr>
        <w:jc w:val="both"/>
      </w:pPr>
      <w:r>
        <w:t>Workflow automation to speed up documentation and claims processing.</w:t>
      </w:r>
    </w:p>
    <w:p w14:paraId="49EA05AB" w14:textId="25962950" w:rsidR="00822565" w:rsidRPr="00AC4EA4" w:rsidRDefault="00822565" w:rsidP="00D96698">
      <w:pPr>
        <w:pStyle w:val="ListParagraph"/>
        <w:numPr>
          <w:ilvl w:val="0"/>
          <w:numId w:val="7"/>
        </w:numPr>
        <w:jc w:val="both"/>
      </w:pPr>
      <w:r>
        <w:t xml:space="preserve">Blockchain technology </w:t>
      </w:r>
      <w:r w:rsidR="007E71EB">
        <w:t>for faster and more secure claims processing.</w:t>
      </w:r>
    </w:p>
    <w:p w14:paraId="63910ACC" w14:textId="7986743D" w:rsidR="00963AA0" w:rsidRDefault="004B162C" w:rsidP="00794A61">
      <w:pPr>
        <w:pStyle w:val="Heading2"/>
      </w:pPr>
      <w:bookmarkStart w:id="21" w:name="_Toc45293119"/>
      <w:r>
        <w:t>Training</w:t>
      </w:r>
      <w:r w:rsidR="00FE782B">
        <w:t xml:space="preserve"> and Job Aids</w:t>
      </w:r>
      <w:bookmarkEnd w:id="21"/>
    </w:p>
    <w:p w14:paraId="1F211277" w14:textId="4400B3DA" w:rsidR="00794A61" w:rsidRDefault="00F23FBF" w:rsidP="007946F7">
      <w:r>
        <w:t xml:space="preserve">As with any operation, the staff </w:t>
      </w:r>
      <w:r w:rsidR="004527CD">
        <w:t xml:space="preserve">working in healthcare revenue cycle must be well trained </w:t>
      </w:r>
      <w:r w:rsidR="001A5426">
        <w:t xml:space="preserve">in their roles to ensure efficient and effective revenue collection.  </w:t>
      </w:r>
      <w:r w:rsidR="00FA1F9E">
        <w:t>Some needed skills include:</w:t>
      </w:r>
    </w:p>
    <w:p w14:paraId="6A009A1E" w14:textId="0DC6826D" w:rsidR="00FA1F9E" w:rsidRDefault="00FA1F9E" w:rsidP="00B96325">
      <w:pPr>
        <w:pStyle w:val="ListParagraph"/>
        <w:numPr>
          <w:ilvl w:val="0"/>
          <w:numId w:val="8"/>
        </w:numPr>
        <w:jc w:val="both"/>
      </w:pPr>
      <w:r>
        <w:t xml:space="preserve">Ability to comfortably speak with </w:t>
      </w:r>
      <w:r w:rsidR="00D733AD">
        <w:t>patients</w:t>
      </w:r>
      <w:r>
        <w:t xml:space="preserve"> about payment</w:t>
      </w:r>
      <w:r w:rsidR="00D733AD">
        <w:t xml:space="preserve"> and financial obligations.  They need to be </w:t>
      </w:r>
      <w:r w:rsidR="00CA0F42">
        <w:t>prepared</w:t>
      </w:r>
      <w:r w:rsidR="00D733AD">
        <w:t xml:space="preserve"> to discuss the cost of </w:t>
      </w:r>
      <w:r w:rsidR="00C729D2">
        <w:t>treatment and</w:t>
      </w:r>
      <w:r w:rsidR="00CA0F42">
        <w:t xml:space="preserve"> educate patients on their responsibilities for fees.  </w:t>
      </w:r>
      <w:r w:rsidR="00B96325">
        <w:t>Practice management needs to make them aware of payment standards</w:t>
      </w:r>
      <w:r w:rsidR="00175B07">
        <w:t xml:space="preserve"> and</w:t>
      </w:r>
      <w:r w:rsidR="00B96325">
        <w:t xml:space="preserve"> requirements</w:t>
      </w:r>
      <w:r w:rsidR="00175B07">
        <w:t>,</w:t>
      </w:r>
      <w:r w:rsidR="00B96325">
        <w:t xml:space="preserve"> and how best to address patients with financial challenges.</w:t>
      </w:r>
    </w:p>
    <w:p w14:paraId="26EFE0F3" w14:textId="5B9C72DA" w:rsidR="00B96325" w:rsidRDefault="00503C57" w:rsidP="00497DE4">
      <w:pPr>
        <w:pStyle w:val="ListParagraph"/>
        <w:numPr>
          <w:ilvl w:val="0"/>
          <w:numId w:val="8"/>
        </w:numPr>
        <w:jc w:val="both"/>
      </w:pPr>
      <w:r>
        <w:lastRenderedPageBreak/>
        <w:t xml:space="preserve">Technology training to ensure the staff is getting optimal use of </w:t>
      </w:r>
      <w:r w:rsidR="005330C3">
        <w:t xml:space="preserve">any technology </w:t>
      </w:r>
      <w:r>
        <w:t xml:space="preserve">investment.  While not everyone has time to take courses offsite, there should be a “super user” on staff that can train new hires and provide refresh courses to </w:t>
      </w:r>
      <w:r w:rsidR="0057299C">
        <w:t>staff.</w:t>
      </w:r>
    </w:p>
    <w:p w14:paraId="67FF3217" w14:textId="6BFB61D3" w:rsidR="005330C3" w:rsidRDefault="00DE6A34" w:rsidP="00497DE4">
      <w:pPr>
        <w:pStyle w:val="ListParagraph"/>
        <w:numPr>
          <w:ilvl w:val="0"/>
          <w:numId w:val="8"/>
        </w:numPr>
        <w:jc w:val="both"/>
      </w:pPr>
      <w:r>
        <w:t xml:space="preserve">Analytical skills to process data and reports, identify problem areas, and </w:t>
      </w:r>
      <w:r w:rsidR="00D65CA0">
        <w:t>devise solutions to improve operations.</w:t>
      </w:r>
    </w:p>
    <w:p w14:paraId="25E4D7F6" w14:textId="262B5EF1" w:rsidR="00723E72" w:rsidRDefault="00723E72" w:rsidP="00497DE4">
      <w:pPr>
        <w:pStyle w:val="ListParagraph"/>
        <w:numPr>
          <w:ilvl w:val="0"/>
          <w:numId w:val="8"/>
        </w:numPr>
        <w:jc w:val="both"/>
      </w:pPr>
      <w:r>
        <w:t xml:space="preserve">Understanding of payer contract terms and conditions.  Staff should become familiar with the various requirements of different payers, to ensure proper claims </w:t>
      </w:r>
      <w:r w:rsidR="00D33FD6">
        <w:t>processing and ensure patient eligibility.</w:t>
      </w:r>
    </w:p>
    <w:p w14:paraId="12280A56" w14:textId="6597A7AA" w:rsidR="00733DDD" w:rsidRDefault="00D667C3" w:rsidP="00497DE4">
      <w:pPr>
        <w:jc w:val="both"/>
      </w:pPr>
      <w:r>
        <w:t xml:space="preserve">In addition to training, </w:t>
      </w:r>
      <w:r w:rsidR="007D41CB">
        <w:t xml:space="preserve">management can provide </w:t>
      </w:r>
      <w:r w:rsidR="0057299C">
        <w:t xml:space="preserve">job aids (checklists, help desks, </w:t>
      </w:r>
      <w:r w:rsidR="00733DDD">
        <w:t>computer prompts) to ensure processes and technology are all used effectively and according to a standard procedure.</w:t>
      </w:r>
    </w:p>
    <w:p w14:paraId="44686B7E" w14:textId="398ADBDA" w:rsidR="004B162C" w:rsidRDefault="004B162C" w:rsidP="00794A61">
      <w:pPr>
        <w:pStyle w:val="Heading2"/>
      </w:pPr>
      <w:bookmarkStart w:id="22" w:name="_Toc45293120"/>
      <w:r>
        <w:t>Cross-functional teams</w:t>
      </w:r>
      <w:bookmarkEnd w:id="22"/>
    </w:p>
    <w:p w14:paraId="7E880A29" w14:textId="630D6E35" w:rsidR="004B162C" w:rsidRDefault="00105E22" w:rsidP="00497DE4">
      <w:pPr>
        <w:jc w:val="both"/>
      </w:pPr>
      <w:r>
        <w:t>Healthcare revenue cycle is another area that can benefit from the use of cross functional teams</w:t>
      </w:r>
      <w:r w:rsidR="00497DE4">
        <w:t xml:space="preserve"> to solve complex problems.  </w:t>
      </w:r>
      <w:r w:rsidR="00CC7136">
        <w:t xml:space="preserve">Denials management </w:t>
      </w:r>
      <w:r w:rsidR="00723E72">
        <w:t xml:space="preserve">is one such example:  the root causes </w:t>
      </w:r>
      <w:r w:rsidR="00D33FD6">
        <w:t xml:space="preserve">of denials can vary greatly, </w:t>
      </w:r>
      <w:r w:rsidR="00ED6206">
        <w:t xml:space="preserve">from </w:t>
      </w:r>
      <w:r w:rsidR="00CD5C7C">
        <w:t xml:space="preserve">simple administrative errors to complex coding and documentation.  </w:t>
      </w:r>
      <w:r w:rsidR="00ED6206">
        <w:t xml:space="preserve">Team members with varying backgrounds working together </w:t>
      </w:r>
      <w:r w:rsidR="006C340F">
        <w:t>can come up with innovative and original ideas to tackle a variety of problems.</w:t>
      </w:r>
      <w:r w:rsidR="003308B7">
        <w:t xml:space="preserve">  </w:t>
      </w:r>
      <w:r w:rsidR="0084254F">
        <w:t xml:space="preserve">Clinicians can add </w:t>
      </w:r>
      <w:r w:rsidR="00446B83">
        <w:t xml:space="preserve">great perspectives and ideas to these </w:t>
      </w:r>
      <w:proofErr w:type="gramStart"/>
      <w:r w:rsidR="00446B83">
        <w:t>teams, and</w:t>
      </w:r>
      <w:proofErr w:type="gramEnd"/>
      <w:r w:rsidR="00446B83">
        <w:t xml:space="preserve"> may see things differently than financial staff immersed in </w:t>
      </w:r>
      <w:r w:rsidR="00E47092">
        <w:t>claims and billings.</w:t>
      </w:r>
    </w:p>
    <w:p w14:paraId="24B41E16" w14:textId="560B0833" w:rsidR="006C340F" w:rsidRDefault="006C340F" w:rsidP="00497DE4">
      <w:pPr>
        <w:jc w:val="both"/>
      </w:pPr>
      <w:r>
        <w:t>Some guidelines for teams include:</w:t>
      </w:r>
    </w:p>
    <w:p w14:paraId="27FD42E1" w14:textId="45A11F5D" w:rsidR="006C340F" w:rsidRDefault="006C340F" w:rsidP="006C340F">
      <w:pPr>
        <w:pStyle w:val="ListParagraph"/>
        <w:numPr>
          <w:ilvl w:val="0"/>
          <w:numId w:val="9"/>
        </w:numPr>
        <w:jc w:val="both"/>
      </w:pPr>
      <w:r>
        <w:t xml:space="preserve">Assemble the right team members – those that </w:t>
      </w:r>
      <w:r w:rsidR="00D43C02">
        <w:t xml:space="preserve">have familiarity with the issue, that are comfortable working without a lot of guidance, </w:t>
      </w:r>
      <w:r w:rsidR="0076119B">
        <w:t>and want to see positive change in their workplace.</w:t>
      </w:r>
    </w:p>
    <w:p w14:paraId="73B8542F" w14:textId="5B271177" w:rsidR="00132A77" w:rsidRDefault="00132A77" w:rsidP="006C340F">
      <w:pPr>
        <w:pStyle w:val="ListParagraph"/>
        <w:numPr>
          <w:ilvl w:val="0"/>
          <w:numId w:val="9"/>
        </w:numPr>
        <w:jc w:val="both"/>
      </w:pPr>
      <w:r>
        <w:t xml:space="preserve">Clearly define the team’s goal </w:t>
      </w:r>
      <w:r w:rsidR="00F362ED">
        <w:t>–</w:t>
      </w:r>
      <w:r>
        <w:t xml:space="preserve"> </w:t>
      </w:r>
      <w:r w:rsidR="00F362ED">
        <w:t>set this up before assembling the team, then make sure everyone is aware of the priorities.</w:t>
      </w:r>
    </w:p>
    <w:p w14:paraId="04D5F686" w14:textId="78A349AE" w:rsidR="00F362ED" w:rsidRDefault="003B68EF" w:rsidP="006C340F">
      <w:pPr>
        <w:pStyle w:val="ListParagraph"/>
        <w:numPr>
          <w:ilvl w:val="0"/>
          <w:numId w:val="9"/>
        </w:numPr>
        <w:jc w:val="both"/>
      </w:pPr>
      <w:r>
        <w:t>Communicate clearly and often</w:t>
      </w:r>
    </w:p>
    <w:p w14:paraId="2B4E93D8" w14:textId="682DAC36" w:rsidR="00DA5829" w:rsidRDefault="00DA5829" w:rsidP="006C340F">
      <w:pPr>
        <w:pStyle w:val="ListParagraph"/>
        <w:numPr>
          <w:ilvl w:val="0"/>
          <w:numId w:val="9"/>
        </w:numPr>
        <w:jc w:val="both"/>
      </w:pPr>
      <w:r>
        <w:t>Conduct periodic check-ins with management to review progress</w:t>
      </w:r>
    </w:p>
    <w:p w14:paraId="52C82003" w14:textId="419317EB" w:rsidR="003B68EF" w:rsidRDefault="003B68EF" w:rsidP="006C340F">
      <w:pPr>
        <w:pStyle w:val="ListParagraph"/>
        <w:numPr>
          <w:ilvl w:val="0"/>
          <w:numId w:val="9"/>
        </w:numPr>
        <w:jc w:val="both"/>
      </w:pPr>
      <w:r>
        <w:t>Celebrate successes – even if they are small!</w:t>
      </w:r>
    </w:p>
    <w:p w14:paraId="61C6DF3D" w14:textId="4560914B" w:rsidR="00E91CC7" w:rsidRDefault="000B4F4C" w:rsidP="000B4F4C">
      <w:pPr>
        <w:pStyle w:val="Heading1"/>
      </w:pPr>
      <w:bookmarkStart w:id="23" w:name="_Toc45293121"/>
      <w:r>
        <w:t>Summary</w:t>
      </w:r>
      <w:bookmarkEnd w:id="23"/>
    </w:p>
    <w:p w14:paraId="24B2D5B2" w14:textId="4578BB7B" w:rsidR="00214CF7" w:rsidRDefault="00726111" w:rsidP="002432F3">
      <w:pPr>
        <w:jc w:val="both"/>
      </w:pPr>
      <w:r>
        <w:t xml:space="preserve">A provider’s revenue cycle is how the provider realizes revenue from the services provided to patients.  Inefficiencies in the processes can lead to </w:t>
      </w:r>
      <w:r w:rsidR="00DA7103">
        <w:t>problem</w:t>
      </w:r>
      <w:r w:rsidR="00A82840">
        <w:t>s</w:t>
      </w:r>
      <w:r w:rsidR="00DA7103">
        <w:t xml:space="preserve"> with cash flow and can negatively impact financial health of the provider.</w:t>
      </w:r>
    </w:p>
    <w:p w14:paraId="1C36EAB8" w14:textId="28F02589" w:rsidR="00DA7103" w:rsidRDefault="00DA7103" w:rsidP="002432F3">
      <w:pPr>
        <w:jc w:val="both"/>
      </w:pPr>
      <w:r>
        <w:t xml:space="preserve">Using analytics to measure </w:t>
      </w:r>
      <w:r w:rsidR="00B844F9">
        <w:t>revenue collected and denied, along with the processes that support the</w:t>
      </w:r>
      <w:r w:rsidR="00C100C6">
        <w:t>m</w:t>
      </w:r>
      <w:r w:rsidR="00B844F9">
        <w:t>,</w:t>
      </w:r>
      <w:r w:rsidR="00C100C6">
        <w:t xml:space="preserve"> can improve</w:t>
      </w:r>
      <w:r w:rsidR="00401DBF">
        <w:t xml:space="preserve"> the dollars and timeliness of</w:t>
      </w:r>
      <w:r w:rsidR="00C100C6">
        <w:t xml:space="preserve"> collections</w:t>
      </w:r>
      <w:r w:rsidR="00401DBF">
        <w:t xml:space="preserve">.  </w:t>
      </w:r>
      <w:r w:rsidR="0035295A">
        <w:t xml:space="preserve">Monitoring trends, conducing root cause analyses, and utilizing cross functional teams </w:t>
      </w:r>
      <w:r w:rsidR="002432F3">
        <w:t xml:space="preserve">are just some of the </w:t>
      </w:r>
      <w:proofErr w:type="gramStart"/>
      <w:r w:rsidR="002432F3">
        <w:t>tactics</w:t>
      </w:r>
      <w:proofErr w:type="gramEnd"/>
      <w:r w:rsidR="002432F3">
        <w:t xml:space="preserve"> providers can use to make these improvements.</w:t>
      </w:r>
    </w:p>
    <w:p w14:paraId="31BA7F98" w14:textId="77777777" w:rsidR="00651719" w:rsidRDefault="00651719">
      <w:pPr>
        <w:rPr>
          <w:rFonts w:asciiTheme="majorHAnsi" w:eastAsiaTheme="majorEastAsia" w:hAnsiTheme="majorHAnsi" w:cstheme="majorBidi"/>
          <w:color w:val="2F5496" w:themeColor="accent1" w:themeShade="BF"/>
          <w:sz w:val="32"/>
          <w:szCs w:val="32"/>
        </w:rPr>
      </w:pPr>
      <w:r>
        <w:br w:type="page"/>
      </w:r>
    </w:p>
    <w:p w14:paraId="1601F475" w14:textId="7CD27AB5" w:rsidR="00214CF7" w:rsidRDefault="00214CF7" w:rsidP="00214CF7">
      <w:pPr>
        <w:pStyle w:val="Heading1"/>
      </w:pPr>
      <w:bookmarkStart w:id="24" w:name="_Toc45293122"/>
      <w:r>
        <w:lastRenderedPageBreak/>
        <w:t>Exercises</w:t>
      </w:r>
      <w:bookmarkEnd w:id="24"/>
    </w:p>
    <w:p w14:paraId="4B15022E" w14:textId="426C62BD" w:rsidR="003D5966" w:rsidRDefault="003D5966" w:rsidP="003D5966"/>
    <w:p w14:paraId="5314C380" w14:textId="139946CA" w:rsidR="008556AA" w:rsidRDefault="008A4D84" w:rsidP="00BB3B2E">
      <w:pPr>
        <w:pStyle w:val="ListParagraph"/>
        <w:numPr>
          <w:ilvl w:val="0"/>
          <w:numId w:val="10"/>
        </w:numPr>
        <w:jc w:val="both"/>
      </w:pPr>
      <w:r>
        <w:t xml:space="preserve">The State of California requires </w:t>
      </w:r>
      <w:r w:rsidR="00C93669">
        <w:t>each hospital in the state</w:t>
      </w:r>
      <w:r>
        <w:t xml:space="preserve"> to submit a </w:t>
      </w:r>
      <w:r w:rsidR="00C93669">
        <w:t>copy of their chargemasters</w:t>
      </w:r>
      <w:r w:rsidR="00ED452B">
        <w:t xml:space="preserve"> along with a list of average charges for 25 common procedures every year.  The attached data file shows an extract for 4 hospitals in California.</w:t>
      </w:r>
    </w:p>
    <w:p w14:paraId="7A3D61FC" w14:textId="25DEBDF0" w:rsidR="00085A57" w:rsidRDefault="00EF4501" w:rsidP="00085A57">
      <w:pPr>
        <w:pStyle w:val="ListParagraph"/>
        <w:numPr>
          <w:ilvl w:val="1"/>
          <w:numId w:val="10"/>
        </w:numPr>
        <w:jc w:val="both"/>
      </w:pPr>
      <w:r>
        <w:t>Compare the hospitals</w:t>
      </w:r>
      <w:r w:rsidR="00576EBB">
        <w:t xml:space="preserve">’ charges for each section.  </w:t>
      </w:r>
      <w:r w:rsidR="00700925">
        <w:t>Use Excel</w:t>
      </w:r>
      <w:r w:rsidR="00E05759">
        <w:t xml:space="preserve"> conditional formatting</w:t>
      </w:r>
      <w:r w:rsidR="00700925">
        <w:t xml:space="preserve"> to i</w:t>
      </w:r>
      <w:r w:rsidR="00576EBB">
        <w:t>dentify the highest and lowest cost for each procedure listed</w:t>
      </w:r>
      <w:r w:rsidR="00E05759">
        <w:t xml:space="preserve"> (with red as highest cost and green as lowest)</w:t>
      </w:r>
      <w:r w:rsidR="00576EBB">
        <w:t xml:space="preserve">.  Discuss </w:t>
      </w:r>
      <w:r w:rsidR="00700925">
        <w:t>reasons for the differences in charges.</w:t>
      </w:r>
    </w:p>
    <w:p w14:paraId="307BFA20" w14:textId="5BE41555" w:rsidR="00700925" w:rsidRDefault="00525981" w:rsidP="00085A57">
      <w:pPr>
        <w:pStyle w:val="ListParagraph"/>
        <w:numPr>
          <w:ilvl w:val="1"/>
          <w:numId w:val="10"/>
        </w:numPr>
        <w:jc w:val="both"/>
      </w:pPr>
      <w:r>
        <w:t xml:space="preserve">If Torrance Hospital had an average </w:t>
      </w:r>
      <w:r w:rsidR="00174A56">
        <w:t>charge to cost ratio of 4.3, what are the average costs for each procedure?</w:t>
      </w:r>
    </w:p>
    <w:p w14:paraId="581334CB" w14:textId="22083527" w:rsidR="00211D8D" w:rsidRDefault="008C2698" w:rsidP="00211D8D">
      <w:pPr>
        <w:pStyle w:val="ListParagraph"/>
        <w:numPr>
          <w:ilvl w:val="0"/>
          <w:numId w:val="10"/>
        </w:numPr>
        <w:jc w:val="both"/>
      </w:pPr>
      <w:r>
        <w:t xml:space="preserve">A recent data extract from </w:t>
      </w:r>
      <w:r w:rsidR="00FA2E1A">
        <w:t xml:space="preserve">Medicare Provider Utilization and Payment data </w:t>
      </w:r>
      <w:r w:rsidR="005769E2">
        <w:t>(</w:t>
      </w:r>
      <w:hyperlink r:id="rId20" w:history="1">
        <w:r w:rsidR="005769E2">
          <w:rPr>
            <w:rStyle w:val="Hyperlink"/>
          </w:rPr>
          <w:t>https://www.cms.gov/Research-Statistics-Data-and-Systems/Statistics-Trends-and-Reports/Medicare-Provider-Charge-Data/Inpatient</w:t>
        </w:r>
      </w:hyperlink>
      <w:r w:rsidR="005769E2">
        <w:t xml:space="preserve">) </w:t>
      </w:r>
      <w:r w:rsidR="00FA2E1A">
        <w:t>show</w:t>
      </w:r>
      <w:r w:rsidR="006D449A">
        <w:t xml:space="preserve">s the charges, average payments and average </w:t>
      </w:r>
      <w:r w:rsidR="00CF437D">
        <w:t>M</w:t>
      </w:r>
      <w:r w:rsidR="006D449A">
        <w:t xml:space="preserve">edicare reimbursements for </w:t>
      </w:r>
      <w:r w:rsidR="005769E2">
        <w:t xml:space="preserve">hospitals in the Dallas, TX area for </w:t>
      </w:r>
      <w:r w:rsidR="00820789">
        <w:t xml:space="preserve">DRG 291 – Heart Failure &amp; Shock with Major Complications and Comorbidities.  </w:t>
      </w:r>
    </w:p>
    <w:p w14:paraId="2FEBECB7" w14:textId="5DC02E64" w:rsidR="005D4CCA" w:rsidRDefault="00EB751C" w:rsidP="005D4CCA">
      <w:pPr>
        <w:pStyle w:val="ListParagraph"/>
        <w:numPr>
          <w:ilvl w:val="1"/>
          <w:numId w:val="10"/>
        </w:numPr>
        <w:jc w:val="both"/>
      </w:pPr>
      <w:r>
        <w:t xml:space="preserve">Calculate the </w:t>
      </w:r>
      <w:r w:rsidR="001724F4">
        <w:t xml:space="preserve">payment to </w:t>
      </w:r>
      <w:r w:rsidR="006F0765">
        <w:t>charge percentage</w:t>
      </w:r>
      <w:r>
        <w:t xml:space="preserve"> for each hospital</w:t>
      </w:r>
      <w:r w:rsidR="00F11390">
        <w:t xml:space="preserve"> for both total payments and Medicare payments.</w:t>
      </w:r>
    </w:p>
    <w:p w14:paraId="6B152E47" w14:textId="02151236" w:rsidR="00F11390" w:rsidRDefault="006F0765" w:rsidP="005D4CCA">
      <w:pPr>
        <w:pStyle w:val="ListParagraph"/>
        <w:numPr>
          <w:ilvl w:val="1"/>
          <w:numId w:val="10"/>
        </w:numPr>
        <w:jc w:val="both"/>
      </w:pPr>
      <w:r>
        <w:t>Assume the hospitals</w:t>
      </w:r>
      <w:r w:rsidR="00C72964">
        <w:t>’</w:t>
      </w:r>
      <w:r>
        <w:t xml:space="preserve"> </w:t>
      </w:r>
      <w:r w:rsidR="00C72964">
        <w:t>charge to cost ratio</w:t>
      </w:r>
      <w:r w:rsidR="00A27577">
        <w:t xml:space="preserve"> is </w:t>
      </w:r>
      <w:r w:rsidR="00E4610A">
        <w:t>4.2.  What would their average charge be for this DRG?</w:t>
      </w:r>
      <w:r w:rsidR="00940FA7">
        <w:t xml:space="preserve">  Compared to average payments, which hospitals are making money?  Which are losing money?</w:t>
      </w:r>
    </w:p>
    <w:p w14:paraId="7D68547D" w14:textId="43E4FD53" w:rsidR="002A3C43" w:rsidRDefault="004247B5" w:rsidP="002A3C43">
      <w:pPr>
        <w:pStyle w:val="ListParagraph"/>
        <w:numPr>
          <w:ilvl w:val="0"/>
          <w:numId w:val="10"/>
        </w:numPr>
        <w:jc w:val="both"/>
      </w:pPr>
      <w:r>
        <w:t xml:space="preserve">Monroe Healthcare System </w:t>
      </w:r>
      <w:r w:rsidR="00F346C7">
        <w:t>had the following financial results for the last 12 months:</w:t>
      </w:r>
    </w:p>
    <w:tbl>
      <w:tblPr>
        <w:tblpPr w:leftFromText="180" w:rightFromText="180" w:vertAnchor="text" w:horzAnchor="margin" w:tblpXSpec="center" w:tblpY="-21"/>
        <w:tblW w:w="4980" w:type="dxa"/>
        <w:tblLook w:val="04A0" w:firstRow="1" w:lastRow="0" w:firstColumn="1" w:lastColumn="0" w:noHBand="0" w:noVBand="1"/>
      </w:tblPr>
      <w:tblGrid>
        <w:gridCol w:w="3240"/>
        <w:gridCol w:w="1740"/>
      </w:tblGrid>
      <w:tr w:rsidR="0074254C" w:rsidRPr="00F346C7" w14:paraId="0D836CA2" w14:textId="77777777" w:rsidTr="0074254C">
        <w:trPr>
          <w:trHeight w:val="285"/>
        </w:trPr>
        <w:tc>
          <w:tcPr>
            <w:tcW w:w="3240" w:type="dxa"/>
            <w:tcBorders>
              <w:top w:val="nil"/>
              <w:left w:val="nil"/>
              <w:bottom w:val="nil"/>
              <w:right w:val="nil"/>
            </w:tcBorders>
            <w:shd w:val="clear" w:color="auto" w:fill="auto"/>
            <w:noWrap/>
            <w:vAlign w:val="bottom"/>
            <w:hideMark/>
          </w:tcPr>
          <w:p w14:paraId="56CE02B1" w14:textId="77777777" w:rsidR="0074254C" w:rsidRPr="00F346C7" w:rsidRDefault="0074254C" w:rsidP="0074254C">
            <w:pPr>
              <w:spacing w:after="0" w:line="240" w:lineRule="auto"/>
              <w:rPr>
                <w:rFonts w:ascii="Calibri" w:eastAsia="Times New Roman" w:hAnsi="Calibri" w:cs="Calibri"/>
                <w:color w:val="000000"/>
                <w:sz w:val="20"/>
                <w:szCs w:val="20"/>
              </w:rPr>
            </w:pPr>
            <w:r w:rsidRPr="00F346C7">
              <w:rPr>
                <w:rFonts w:ascii="Calibri" w:eastAsia="Times New Roman" w:hAnsi="Calibri" w:cs="Calibri"/>
                <w:color w:val="000000"/>
                <w:sz w:val="20"/>
                <w:szCs w:val="20"/>
              </w:rPr>
              <w:t>Accounts Receivable (12 months)</w:t>
            </w:r>
          </w:p>
        </w:tc>
        <w:tc>
          <w:tcPr>
            <w:tcW w:w="1740" w:type="dxa"/>
            <w:tcBorders>
              <w:top w:val="nil"/>
              <w:left w:val="nil"/>
              <w:bottom w:val="nil"/>
              <w:right w:val="nil"/>
            </w:tcBorders>
            <w:shd w:val="clear" w:color="auto" w:fill="auto"/>
            <w:noWrap/>
            <w:vAlign w:val="bottom"/>
            <w:hideMark/>
          </w:tcPr>
          <w:p w14:paraId="384A17E5" w14:textId="77777777" w:rsidR="0074254C" w:rsidRPr="00F346C7" w:rsidRDefault="0074254C" w:rsidP="0074254C">
            <w:pPr>
              <w:spacing w:after="0" w:line="240" w:lineRule="auto"/>
              <w:rPr>
                <w:rFonts w:ascii="Calibri" w:eastAsia="Times New Roman" w:hAnsi="Calibri" w:cs="Calibri"/>
                <w:color w:val="000000"/>
                <w:sz w:val="20"/>
                <w:szCs w:val="20"/>
              </w:rPr>
            </w:pPr>
            <w:r w:rsidRPr="00F346C7">
              <w:rPr>
                <w:rFonts w:ascii="Calibri" w:eastAsia="Times New Roman" w:hAnsi="Calibri" w:cs="Calibri"/>
                <w:color w:val="000000"/>
                <w:sz w:val="20"/>
                <w:szCs w:val="20"/>
              </w:rPr>
              <w:t xml:space="preserve"> $      143,478,000 </w:t>
            </w:r>
          </w:p>
        </w:tc>
      </w:tr>
      <w:tr w:rsidR="0074254C" w:rsidRPr="00F346C7" w14:paraId="54FEE505" w14:textId="77777777" w:rsidTr="0074254C">
        <w:trPr>
          <w:trHeight w:val="285"/>
        </w:trPr>
        <w:tc>
          <w:tcPr>
            <w:tcW w:w="3240" w:type="dxa"/>
            <w:tcBorders>
              <w:top w:val="nil"/>
              <w:left w:val="nil"/>
              <w:bottom w:val="nil"/>
              <w:right w:val="nil"/>
            </w:tcBorders>
            <w:shd w:val="clear" w:color="auto" w:fill="auto"/>
            <w:noWrap/>
            <w:vAlign w:val="bottom"/>
            <w:hideMark/>
          </w:tcPr>
          <w:p w14:paraId="05EB3E6C" w14:textId="77777777" w:rsidR="0074254C" w:rsidRPr="00F346C7" w:rsidRDefault="0074254C" w:rsidP="0074254C">
            <w:pPr>
              <w:spacing w:after="0" w:line="240" w:lineRule="auto"/>
              <w:rPr>
                <w:rFonts w:ascii="Calibri" w:eastAsia="Times New Roman" w:hAnsi="Calibri" w:cs="Calibri"/>
                <w:color w:val="000000"/>
                <w:sz w:val="20"/>
                <w:szCs w:val="20"/>
              </w:rPr>
            </w:pPr>
            <w:r w:rsidRPr="00F346C7">
              <w:rPr>
                <w:rFonts w:ascii="Calibri" w:eastAsia="Times New Roman" w:hAnsi="Calibri" w:cs="Calibri"/>
                <w:color w:val="000000"/>
                <w:sz w:val="20"/>
                <w:szCs w:val="20"/>
              </w:rPr>
              <w:t>Net patient revenue (12 months)</w:t>
            </w:r>
          </w:p>
        </w:tc>
        <w:tc>
          <w:tcPr>
            <w:tcW w:w="1740" w:type="dxa"/>
            <w:tcBorders>
              <w:top w:val="nil"/>
              <w:left w:val="nil"/>
              <w:bottom w:val="nil"/>
              <w:right w:val="nil"/>
            </w:tcBorders>
            <w:shd w:val="clear" w:color="auto" w:fill="auto"/>
            <w:noWrap/>
            <w:vAlign w:val="bottom"/>
            <w:hideMark/>
          </w:tcPr>
          <w:p w14:paraId="2CC67839" w14:textId="77777777" w:rsidR="0074254C" w:rsidRPr="00F346C7" w:rsidRDefault="0074254C" w:rsidP="0074254C">
            <w:pPr>
              <w:spacing w:after="0" w:line="240" w:lineRule="auto"/>
              <w:rPr>
                <w:rFonts w:ascii="Calibri" w:eastAsia="Times New Roman" w:hAnsi="Calibri" w:cs="Calibri"/>
                <w:color w:val="000000"/>
                <w:sz w:val="20"/>
                <w:szCs w:val="20"/>
              </w:rPr>
            </w:pPr>
            <w:r w:rsidRPr="00F346C7">
              <w:rPr>
                <w:rFonts w:ascii="Calibri" w:eastAsia="Times New Roman" w:hAnsi="Calibri" w:cs="Calibri"/>
                <w:color w:val="000000"/>
                <w:sz w:val="20"/>
                <w:szCs w:val="20"/>
              </w:rPr>
              <w:t xml:space="preserve"> $      919,511,000 </w:t>
            </w:r>
          </w:p>
        </w:tc>
      </w:tr>
      <w:tr w:rsidR="0074254C" w:rsidRPr="00F346C7" w14:paraId="603F2AAA" w14:textId="77777777" w:rsidTr="0074254C">
        <w:trPr>
          <w:trHeight w:val="285"/>
        </w:trPr>
        <w:tc>
          <w:tcPr>
            <w:tcW w:w="3240" w:type="dxa"/>
            <w:tcBorders>
              <w:top w:val="nil"/>
              <w:left w:val="nil"/>
              <w:bottom w:val="nil"/>
              <w:right w:val="nil"/>
            </w:tcBorders>
            <w:shd w:val="clear" w:color="auto" w:fill="auto"/>
            <w:noWrap/>
            <w:vAlign w:val="bottom"/>
            <w:hideMark/>
          </w:tcPr>
          <w:p w14:paraId="51A4C124" w14:textId="77777777" w:rsidR="0074254C" w:rsidRPr="00F346C7" w:rsidRDefault="0074254C" w:rsidP="0074254C">
            <w:pPr>
              <w:spacing w:after="0" w:line="240" w:lineRule="auto"/>
              <w:rPr>
                <w:rFonts w:ascii="Calibri" w:eastAsia="Times New Roman" w:hAnsi="Calibri" w:cs="Calibri"/>
                <w:color w:val="000000"/>
                <w:sz w:val="20"/>
                <w:szCs w:val="20"/>
              </w:rPr>
            </w:pPr>
            <w:r w:rsidRPr="00F346C7">
              <w:rPr>
                <w:rFonts w:ascii="Calibri" w:eastAsia="Times New Roman" w:hAnsi="Calibri" w:cs="Calibri"/>
                <w:color w:val="000000"/>
                <w:sz w:val="20"/>
                <w:szCs w:val="20"/>
              </w:rPr>
              <w:t>Bad debt (12 months)</w:t>
            </w:r>
          </w:p>
        </w:tc>
        <w:tc>
          <w:tcPr>
            <w:tcW w:w="1740" w:type="dxa"/>
            <w:tcBorders>
              <w:top w:val="nil"/>
              <w:left w:val="nil"/>
              <w:bottom w:val="nil"/>
              <w:right w:val="nil"/>
            </w:tcBorders>
            <w:shd w:val="clear" w:color="auto" w:fill="auto"/>
            <w:noWrap/>
            <w:vAlign w:val="bottom"/>
            <w:hideMark/>
          </w:tcPr>
          <w:p w14:paraId="38925121" w14:textId="77777777" w:rsidR="0074254C" w:rsidRPr="00F346C7" w:rsidRDefault="0074254C" w:rsidP="0074254C">
            <w:pPr>
              <w:spacing w:after="0" w:line="240" w:lineRule="auto"/>
              <w:rPr>
                <w:rFonts w:ascii="Calibri" w:eastAsia="Times New Roman" w:hAnsi="Calibri" w:cs="Calibri"/>
                <w:color w:val="000000"/>
                <w:sz w:val="20"/>
                <w:szCs w:val="20"/>
              </w:rPr>
            </w:pPr>
            <w:r w:rsidRPr="00F346C7">
              <w:rPr>
                <w:rFonts w:ascii="Calibri" w:eastAsia="Times New Roman" w:hAnsi="Calibri" w:cs="Calibri"/>
                <w:color w:val="000000"/>
                <w:sz w:val="20"/>
                <w:szCs w:val="20"/>
              </w:rPr>
              <w:t xml:space="preserve"> $        77,377,000 </w:t>
            </w:r>
          </w:p>
        </w:tc>
      </w:tr>
    </w:tbl>
    <w:p w14:paraId="42D7261B" w14:textId="77777777" w:rsidR="0074254C" w:rsidRDefault="0074254C" w:rsidP="0074254C">
      <w:pPr>
        <w:jc w:val="both"/>
      </w:pPr>
    </w:p>
    <w:p w14:paraId="0830A238" w14:textId="77777777" w:rsidR="0074254C" w:rsidRDefault="0074254C" w:rsidP="0074254C">
      <w:pPr>
        <w:ind w:left="360"/>
        <w:jc w:val="both"/>
      </w:pPr>
    </w:p>
    <w:p w14:paraId="362CDC5C" w14:textId="6637DC1A" w:rsidR="001E2FE2" w:rsidRDefault="001E2FE2" w:rsidP="001E2FE2">
      <w:pPr>
        <w:pStyle w:val="ListParagraph"/>
        <w:numPr>
          <w:ilvl w:val="1"/>
          <w:numId w:val="10"/>
        </w:numPr>
        <w:jc w:val="both"/>
      </w:pPr>
      <w:r>
        <w:t xml:space="preserve">What </w:t>
      </w:r>
      <w:r w:rsidR="0074254C">
        <w:t>are</w:t>
      </w:r>
      <w:r>
        <w:t xml:space="preserve"> the days in Accounts Receivable for these 12 months?</w:t>
      </w:r>
      <w:r w:rsidR="007D2936">
        <w:t xml:space="preserve">  How does this compare to a target of 45 days in A/R?  What next steps should the Finance Director consider?</w:t>
      </w:r>
    </w:p>
    <w:p w14:paraId="559C85D8" w14:textId="068CE32E" w:rsidR="001E2FE2" w:rsidRDefault="0055459D" w:rsidP="00F346C7">
      <w:pPr>
        <w:pStyle w:val="ListParagraph"/>
        <w:numPr>
          <w:ilvl w:val="1"/>
          <w:numId w:val="10"/>
        </w:numPr>
        <w:jc w:val="both"/>
      </w:pPr>
      <w:r>
        <w:t>What is the bad debt percen</w:t>
      </w:r>
      <w:r w:rsidR="0074254C">
        <w:t xml:space="preserve">tage of net revenue?  How does this compare to a target of 2% or less?  </w:t>
      </w:r>
      <w:r w:rsidR="00CC7A0E">
        <w:t>What strategies should they implement?</w:t>
      </w:r>
    </w:p>
    <w:p w14:paraId="6BD7CE6E" w14:textId="1843A015" w:rsidR="001C20B9" w:rsidRDefault="0015266E" w:rsidP="001C20B9">
      <w:pPr>
        <w:pStyle w:val="ListParagraph"/>
        <w:numPr>
          <w:ilvl w:val="0"/>
          <w:numId w:val="10"/>
        </w:numPr>
        <w:jc w:val="both"/>
      </w:pPr>
      <w:r>
        <w:t>University Medical Center finance staff generated the following aging report for th</w:t>
      </w:r>
      <w:r w:rsidR="001C20B9">
        <w:t>is month:</w:t>
      </w:r>
    </w:p>
    <w:p w14:paraId="5FA2D05B" w14:textId="0092ACB1" w:rsidR="00EE68AF" w:rsidRDefault="00EF7996" w:rsidP="00EE68AF">
      <w:pPr>
        <w:jc w:val="both"/>
      </w:pPr>
      <w:r w:rsidRPr="00EF7996">
        <w:rPr>
          <w:noProof/>
        </w:rPr>
        <w:drawing>
          <wp:inline distT="0" distB="0" distL="0" distR="0" wp14:anchorId="69DF1DE5" wp14:editId="36823DD9">
            <wp:extent cx="5943600" cy="1400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1400175"/>
                    </a:xfrm>
                    <a:prstGeom prst="rect">
                      <a:avLst/>
                    </a:prstGeom>
                    <a:noFill/>
                    <a:ln>
                      <a:noFill/>
                    </a:ln>
                  </pic:spPr>
                </pic:pic>
              </a:graphicData>
            </a:graphic>
          </wp:inline>
        </w:drawing>
      </w:r>
    </w:p>
    <w:p w14:paraId="368AF1C9" w14:textId="09F60BF1" w:rsidR="001C20B9" w:rsidRDefault="001C20B9" w:rsidP="001C20B9">
      <w:pPr>
        <w:pStyle w:val="ListParagraph"/>
        <w:numPr>
          <w:ilvl w:val="1"/>
          <w:numId w:val="10"/>
        </w:numPr>
        <w:jc w:val="both"/>
      </w:pPr>
      <w:r>
        <w:t>Complete the table to show p</w:t>
      </w:r>
      <w:r w:rsidR="000A5559">
        <w:t>ercentage of total for each of the 2-month increments.</w:t>
      </w:r>
    </w:p>
    <w:p w14:paraId="3F34D785" w14:textId="7E11FD15" w:rsidR="000A5559" w:rsidRDefault="000A5559" w:rsidP="001C20B9">
      <w:pPr>
        <w:pStyle w:val="ListParagraph"/>
        <w:numPr>
          <w:ilvl w:val="1"/>
          <w:numId w:val="10"/>
        </w:numPr>
        <w:jc w:val="both"/>
      </w:pPr>
      <w:r>
        <w:t>Based on this data, what observations can you make about their payers and receivables?</w:t>
      </w:r>
    </w:p>
    <w:p w14:paraId="1327073B" w14:textId="155780C3" w:rsidR="000A5559" w:rsidRDefault="000A5559" w:rsidP="001C20B9">
      <w:pPr>
        <w:pStyle w:val="ListParagraph"/>
        <w:numPr>
          <w:ilvl w:val="1"/>
          <w:numId w:val="10"/>
        </w:numPr>
        <w:jc w:val="both"/>
      </w:pPr>
      <w:r>
        <w:t>What recommendations would you make to the financ</w:t>
      </w:r>
      <w:r w:rsidR="00EE68AF">
        <w:t>e staff for improvements</w:t>
      </w:r>
      <w:r w:rsidR="008D006E">
        <w:t xml:space="preserve"> to better manage their accounts receivable</w:t>
      </w:r>
      <w:r w:rsidR="00EE68AF">
        <w:t>?</w:t>
      </w:r>
    </w:p>
    <w:p w14:paraId="58F3693E" w14:textId="22AF2DAB" w:rsidR="00EF7996" w:rsidRDefault="00844228" w:rsidP="00EF7996">
      <w:pPr>
        <w:pStyle w:val="ListParagraph"/>
        <w:numPr>
          <w:ilvl w:val="0"/>
          <w:numId w:val="10"/>
        </w:numPr>
        <w:jc w:val="both"/>
      </w:pPr>
      <w:r>
        <w:lastRenderedPageBreak/>
        <w:t xml:space="preserve">Montgomery County Community Hospital </w:t>
      </w:r>
      <w:r w:rsidR="00E31263">
        <w:t>has been tracking denials for the last several months and the finance staff has collected the follow</w:t>
      </w:r>
      <w:r w:rsidR="00E9589E">
        <w:t>ing data:</w:t>
      </w:r>
    </w:p>
    <w:p w14:paraId="3577BAD6" w14:textId="23D5A0ED" w:rsidR="003D1826" w:rsidRDefault="003D1826" w:rsidP="003D1826">
      <w:pPr>
        <w:jc w:val="center"/>
      </w:pPr>
      <w:r w:rsidRPr="003D1826">
        <w:rPr>
          <w:noProof/>
        </w:rPr>
        <w:drawing>
          <wp:inline distT="0" distB="0" distL="0" distR="0" wp14:anchorId="26845027" wp14:editId="15FF9CDB">
            <wp:extent cx="4876800" cy="686544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80766" cy="6871032"/>
                    </a:xfrm>
                    <a:prstGeom prst="rect">
                      <a:avLst/>
                    </a:prstGeom>
                    <a:noFill/>
                    <a:ln>
                      <a:noFill/>
                    </a:ln>
                  </pic:spPr>
                </pic:pic>
              </a:graphicData>
            </a:graphic>
          </wp:inline>
        </w:drawing>
      </w:r>
    </w:p>
    <w:p w14:paraId="4C561908" w14:textId="079328FE" w:rsidR="00E9589E" w:rsidRDefault="004173B9" w:rsidP="00E9589E">
      <w:pPr>
        <w:pStyle w:val="ListParagraph"/>
        <w:numPr>
          <w:ilvl w:val="1"/>
          <w:numId w:val="10"/>
        </w:numPr>
        <w:jc w:val="both"/>
      </w:pPr>
      <w:r>
        <w:t>Summarize the denials by reason and payer</w:t>
      </w:r>
      <w:r w:rsidR="00EE0D87">
        <w:t xml:space="preserve"> (</w:t>
      </w:r>
      <w:r w:rsidR="000573D3">
        <w:t>using claims dollars).</w:t>
      </w:r>
    </w:p>
    <w:p w14:paraId="12A6C54C" w14:textId="1A280E9A" w:rsidR="007915AD" w:rsidRDefault="000573D3" w:rsidP="00E9589E">
      <w:pPr>
        <w:pStyle w:val="ListParagraph"/>
        <w:numPr>
          <w:ilvl w:val="1"/>
          <w:numId w:val="10"/>
        </w:numPr>
        <w:jc w:val="both"/>
      </w:pPr>
      <w:r>
        <w:t xml:space="preserve">What should be the </w:t>
      </w:r>
      <w:r w:rsidR="00F11BDE">
        <w:t>Finance Director’s next actions and why?</w:t>
      </w:r>
    </w:p>
    <w:p w14:paraId="0DC4E358" w14:textId="0C7D73BD" w:rsidR="00D90D4E" w:rsidRDefault="00D90D4E">
      <w:r>
        <w:br w:type="page"/>
      </w:r>
    </w:p>
    <w:p w14:paraId="38E3E72A" w14:textId="7C7CF666" w:rsidR="00D90D4E" w:rsidRDefault="008106CB" w:rsidP="003D1826">
      <w:pPr>
        <w:pStyle w:val="ListParagraph"/>
        <w:numPr>
          <w:ilvl w:val="0"/>
          <w:numId w:val="10"/>
        </w:numPr>
        <w:jc w:val="both"/>
      </w:pPr>
      <w:r>
        <w:lastRenderedPageBreak/>
        <w:t>Brooks Medical Center</w:t>
      </w:r>
      <w:r w:rsidR="007F5D63">
        <w:t xml:space="preserve"> has been tracking denials by reason for the last 6 months</w:t>
      </w:r>
      <w:r w:rsidR="00D36219">
        <w:t>:</w:t>
      </w:r>
    </w:p>
    <w:p w14:paraId="61059F17" w14:textId="6FA15252" w:rsidR="00D36219" w:rsidRDefault="00DD0F12" w:rsidP="00D36219">
      <w:pPr>
        <w:jc w:val="both"/>
      </w:pPr>
      <w:r w:rsidRPr="00DD0F12">
        <w:rPr>
          <w:noProof/>
        </w:rPr>
        <w:drawing>
          <wp:inline distT="0" distB="0" distL="0" distR="0" wp14:anchorId="7B1AF3ED" wp14:editId="7A2E2DC6">
            <wp:extent cx="5943600" cy="11626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162685"/>
                    </a:xfrm>
                    <a:prstGeom prst="rect">
                      <a:avLst/>
                    </a:prstGeom>
                    <a:noFill/>
                    <a:ln>
                      <a:noFill/>
                    </a:ln>
                  </pic:spPr>
                </pic:pic>
              </a:graphicData>
            </a:graphic>
          </wp:inline>
        </w:drawing>
      </w:r>
    </w:p>
    <w:p w14:paraId="68F5AA1E" w14:textId="71DBAC8B" w:rsidR="00516B41" w:rsidRDefault="00C33C13" w:rsidP="00D90D4E">
      <w:pPr>
        <w:pStyle w:val="ListParagraph"/>
        <w:numPr>
          <w:ilvl w:val="1"/>
          <w:numId w:val="10"/>
        </w:numPr>
        <w:jc w:val="both"/>
      </w:pPr>
      <w:r>
        <w:t xml:space="preserve">What </w:t>
      </w:r>
      <w:r w:rsidR="007F5D63">
        <w:t xml:space="preserve">trends </w:t>
      </w:r>
      <w:r w:rsidR="00516B41">
        <w:t xml:space="preserve">do you see in the </w:t>
      </w:r>
      <w:r w:rsidR="00D90D4E">
        <w:t xml:space="preserve">denials </w:t>
      </w:r>
      <w:r w:rsidR="00516B41">
        <w:t>overall and by individual reason?</w:t>
      </w:r>
    </w:p>
    <w:p w14:paraId="6933DF98" w14:textId="51EE268E" w:rsidR="003D1826" w:rsidRDefault="006B273C" w:rsidP="00D90D4E">
      <w:pPr>
        <w:pStyle w:val="ListParagraph"/>
        <w:numPr>
          <w:ilvl w:val="1"/>
          <w:numId w:val="10"/>
        </w:numPr>
        <w:jc w:val="both"/>
      </w:pPr>
      <w:r>
        <w:t xml:space="preserve">What </w:t>
      </w:r>
      <w:r w:rsidR="00D90D4E">
        <w:t>process improvements might be needed</w:t>
      </w:r>
      <w:r>
        <w:t xml:space="preserve"> (review each denial reason</w:t>
      </w:r>
      <w:r w:rsidR="00D36219">
        <w:t>)?</w:t>
      </w:r>
    </w:p>
    <w:p w14:paraId="68EC5612" w14:textId="77777777" w:rsidR="00726111" w:rsidRPr="003D5966" w:rsidRDefault="00726111" w:rsidP="003D5966"/>
    <w:p w14:paraId="35112A85" w14:textId="77777777" w:rsidR="000B4F4C" w:rsidRDefault="000B4F4C" w:rsidP="007946F7"/>
    <w:p w14:paraId="3220930D" w14:textId="77777777" w:rsidR="00C90892" w:rsidRDefault="00C90892" w:rsidP="007946F7">
      <w:pPr>
        <w:sectPr w:rsidR="00C90892">
          <w:pgSz w:w="12240" w:h="15840"/>
          <w:pgMar w:top="1440" w:right="1440" w:bottom="1440" w:left="1440" w:header="720" w:footer="720" w:gutter="0"/>
          <w:cols w:space="720"/>
          <w:docGrid w:linePitch="360"/>
        </w:sectPr>
      </w:pPr>
    </w:p>
    <w:p w14:paraId="458BC09D" w14:textId="3C370F36" w:rsidR="0052593B" w:rsidRDefault="00C90892" w:rsidP="00DE5FC1">
      <w:pPr>
        <w:pStyle w:val="Heading1"/>
      </w:pPr>
      <w:bookmarkStart w:id="25" w:name="_Toc45293123"/>
      <w:r>
        <w:lastRenderedPageBreak/>
        <w:t>Appendix</w:t>
      </w:r>
      <w:r w:rsidR="00DE5FC1">
        <w:t xml:space="preserve"> - </w:t>
      </w:r>
      <w:r w:rsidR="0052593B">
        <w:t xml:space="preserve">Terminology and </w:t>
      </w:r>
      <w:r w:rsidR="00DE5FC1">
        <w:t>D</w:t>
      </w:r>
      <w:r w:rsidR="0052593B">
        <w:t>efinitions</w:t>
      </w:r>
      <w:bookmarkEnd w:id="25"/>
    </w:p>
    <w:p w14:paraId="1F575034" w14:textId="73AC91CF" w:rsidR="0052593B" w:rsidRDefault="0052593B" w:rsidP="007946F7"/>
    <w:p w14:paraId="33F44EB8" w14:textId="77777777" w:rsidR="00B63FA1" w:rsidRPr="00FD6EDC" w:rsidRDefault="00B63FA1" w:rsidP="00FD6EDC">
      <w:pPr>
        <w:rPr>
          <w:i/>
          <w:iCs/>
          <w:smallCaps/>
        </w:rPr>
      </w:pPr>
      <w:r w:rsidRPr="00FD6EDC">
        <w:rPr>
          <w:i/>
          <w:iCs/>
          <w:smallCaps/>
        </w:rPr>
        <w:t>A</w:t>
      </w:r>
    </w:p>
    <w:p w14:paraId="3E7CBE30" w14:textId="0F98A0E0"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Allowed Amount</w:t>
      </w:r>
      <w:r w:rsidRPr="009D15D8">
        <w:rPr>
          <w:rFonts w:ascii="Times New Roman" w:eastAsia="Times New Roman" w:hAnsi="Times New Roman" w:cs="Times New Roman"/>
          <w:color w:val="747474"/>
          <w:sz w:val="21"/>
          <w:szCs w:val="21"/>
        </w:rPr>
        <w:t xml:space="preserve">: The sum an insurance company will reimburse to cover a healthcare service or procedure. The patient typically pays the remaining balance if there is any amount left over after the allowed amount has been paid. This amount </w:t>
      </w:r>
      <w:r w:rsidR="003541D2" w:rsidRPr="009D15D8">
        <w:rPr>
          <w:rFonts w:ascii="Times New Roman" w:eastAsia="Times New Roman" w:hAnsi="Times New Roman" w:cs="Times New Roman"/>
          <w:color w:val="747474"/>
          <w:sz w:val="21"/>
          <w:szCs w:val="21"/>
        </w:rPr>
        <w:t>should not</w:t>
      </w:r>
      <w:r w:rsidRPr="009D15D8">
        <w:rPr>
          <w:rFonts w:ascii="Times New Roman" w:eastAsia="Times New Roman" w:hAnsi="Times New Roman" w:cs="Times New Roman"/>
          <w:color w:val="747474"/>
          <w:sz w:val="21"/>
          <w:szCs w:val="21"/>
        </w:rPr>
        <w:t xml:space="preserve"> be confused with co-pay or deductibles owed by a patient.</w:t>
      </w:r>
    </w:p>
    <w:p w14:paraId="5494C9D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Aging</w:t>
      </w:r>
      <w:r w:rsidRPr="009D15D8">
        <w:rPr>
          <w:rFonts w:ascii="Times New Roman" w:eastAsia="Times New Roman" w:hAnsi="Times New Roman" w:cs="Times New Roman"/>
          <w:color w:val="747474"/>
          <w:sz w:val="21"/>
          <w:szCs w:val="21"/>
        </w:rPr>
        <w:t>:</w:t>
      </w:r>
      <w:r w:rsidRPr="009D15D8">
        <w:rPr>
          <w:rFonts w:ascii="Times New Roman" w:eastAsia="Times New Roman" w:hAnsi="Times New Roman" w:cs="Times New Roman"/>
          <w:b/>
          <w:bCs/>
          <w:color w:val="747474"/>
          <w:sz w:val="21"/>
          <w:szCs w:val="21"/>
        </w:rPr>
        <w:t> </w:t>
      </w:r>
      <w:r w:rsidRPr="009D15D8">
        <w:rPr>
          <w:rFonts w:ascii="Times New Roman" w:eastAsia="Times New Roman" w:hAnsi="Times New Roman" w:cs="Times New Roman"/>
          <w:color w:val="747474"/>
          <w:sz w:val="21"/>
          <w:szCs w:val="21"/>
        </w:rPr>
        <w:t xml:space="preserve">A formal medical billing term that refers to insurance claims that haven’t been paid or balances owed by </w:t>
      </w:r>
      <w:proofErr w:type="gramStart"/>
      <w:r w:rsidRPr="009D15D8">
        <w:rPr>
          <w:rFonts w:ascii="Times New Roman" w:eastAsia="Times New Roman" w:hAnsi="Times New Roman" w:cs="Times New Roman"/>
          <w:color w:val="747474"/>
          <w:sz w:val="21"/>
          <w:szCs w:val="21"/>
        </w:rPr>
        <w:t>patients</w:t>
      </w:r>
      <w:proofErr w:type="gramEnd"/>
      <w:r w:rsidRPr="009D15D8">
        <w:rPr>
          <w:rFonts w:ascii="Times New Roman" w:eastAsia="Times New Roman" w:hAnsi="Times New Roman" w:cs="Times New Roman"/>
          <w:color w:val="747474"/>
          <w:sz w:val="21"/>
          <w:szCs w:val="21"/>
        </w:rPr>
        <w:t xml:space="preserve"> overdue by more than 30 days. Aging claims may become denied if they </w:t>
      </w:r>
      <w:proofErr w:type="gramStart"/>
      <w:r w:rsidRPr="009D15D8">
        <w:rPr>
          <w:rFonts w:ascii="Times New Roman" w:eastAsia="Times New Roman" w:hAnsi="Times New Roman" w:cs="Times New Roman"/>
          <w:color w:val="747474"/>
          <w:sz w:val="21"/>
          <w:szCs w:val="21"/>
        </w:rPr>
        <w:t>aren’t</w:t>
      </w:r>
      <w:proofErr w:type="gramEnd"/>
      <w:r w:rsidRPr="009D15D8">
        <w:rPr>
          <w:rFonts w:ascii="Times New Roman" w:eastAsia="Times New Roman" w:hAnsi="Times New Roman" w:cs="Times New Roman"/>
          <w:color w:val="747474"/>
          <w:sz w:val="21"/>
          <w:szCs w:val="21"/>
        </w:rPr>
        <w:t xml:space="preserve"> filed in time with a health insurance company.</w:t>
      </w:r>
    </w:p>
    <w:p w14:paraId="6B0FF4D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Ancillary Services</w:t>
      </w:r>
      <w:r w:rsidRPr="009D15D8">
        <w:rPr>
          <w:rFonts w:ascii="Times New Roman" w:eastAsia="Times New Roman" w:hAnsi="Times New Roman" w:cs="Times New Roman"/>
          <w:color w:val="747474"/>
          <w:sz w:val="21"/>
          <w:szCs w:val="21"/>
        </w:rPr>
        <w:t>: Any service administered in a hospital or other healthcare facility other than room and board, including biometrics tests, physical therapy, and physician consultations among other services.</w:t>
      </w:r>
    </w:p>
    <w:p w14:paraId="5E312E6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Appeal</w:t>
      </w:r>
      <w:r w:rsidRPr="009D15D8">
        <w:rPr>
          <w:rFonts w:ascii="Times New Roman" w:eastAsia="Times New Roman" w:hAnsi="Times New Roman" w:cs="Times New Roman"/>
          <w:color w:val="747474"/>
          <w:sz w:val="21"/>
          <w:szCs w:val="21"/>
        </w:rPr>
        <w:t>:</w:t>
      </w:r>
      <w:r w:rsidRPr="009D15D8">
        <w:rPr>
          <w:rFonts w:ascii="Times New Roman" w:eastAsia="Times New Roman" w:hAnsi="Times New Roman" w:cs="Times New Roman"/>
          <w:b/>
          <w:bCs/>
          <w:color w:val="747474"/>
          <w:sz w:val="21"/>
          <w:szCs w:val="21"/>
        </w:rPr>
        <w:t> </w:t>
      </w:r>
      <w:r w:rsidRPr="009D15D8">
        <w:rPr>
          <w:rFonts w:ascii="Times New Roman" w:eastAsia="Times New Roman" w:hAnsi="Times New Roman" w:cs="Times New Roman"/>
          <w:color w:val="747474"/>
          <w:sz w:val="21"/>
          <w:szCs w:val="21"/>
        </w:rPr>
        <w:t>Appeal occurs when a patient or a provider tries to convince an insurance company to pay for healthcare after it has decided not to cover costs for someone on a claim. Medical billing specialists deal with appeals after a claim has been denied or rejected by an insurance company.</w:t>
      </w:r>
    </w:p>
    <w:p w14:paraId="1FCF06B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Applied to Deductible (ATD): </w:t>
      </w:r>
      <w:r w:rsidRPr="009D15D8">
        <w:rPr>
          <w:rFonts w:ascii="Times New Roman" w:eastAsia="Times New Roman" w:hAnsi="Times New Roman" w:cs="Times New Roman"/>
          <w:color w:val="747474"/>
          <w:sz w:val="21"/>
          <w:szCs w:val="21"/>
        </w:rPr>
        <w:t>This term refers to the amount of money a patient owes a provider that goes to paying their yearly deductible. A patient’s deductible is determined by their insurance plan and can range in price.</w:t>
      </w:r>
    </w:p>
    <w:p w14:paraId="644111F0"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Assignment of Benefits (AOB): </w:t>
      </w:r>
      <w:r w:rsidRPr="009D15D8">
        <w:rPr>
          <w:rFonts w:ascii="Times New Roman" w:eastAsia="Times New Roman" w:hAnsi="Times New Roman" w:cs="Times New Roman"/>
          <w:color w:val="747474"/>
          <w:sz w:val="21"/>
          <w:szCs w:val="21"/>
        </w:rPr>
        <w:t>This term refers to insurance payments made directly to a healthcare provider for medical services received by the patient. Assignment of benefits occurs after a claim has been successfully processed with an insurance company.</w:t>
      </w:r>
    </w:p>
    <w:p w14:paraId="2C2250D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Authorization: </w:t>
      </w:r>
      <w:r w:rsidRPr="009D15D8">
        <w:rPr>
          <w:rFonts w:ascii="Times New Roman" w:eastAsia="Times New Roman" w:hAnsi="Times New Roman" w:cs="Times New Roman"/>
          <w:color w:val="747474"/>
          <w:sz w:val="21"/>
          <w:szCs w:val="21"/>
        </w:rPr>
        <w:t>This term refers to when a patient’s health insurance plan requires them to get permission from their insurance providers before receiving certain healthcare services. A patient may be denied coverage if they see a provider for a service that needed authorization without first consulting the insurance company.</w:t>
      </w:r>
    </w:p>
    <w:p w14:paraId="3B8336F8" w14:textId="77777777" w:rsidR="00B63FA1" w:rsidRPr="00FD6EDC" w:rsidRDefault="00B63FA1" w:rsidP="00FD6EDC">
      <w:pPr>
        <w:rPr>
          <w:i/>
          <w:iCs/>
        </w:rPr>
      </w:pPr>
      <w:r w:rsidRPr="00FD6EDC">
        <w:rPr>
          <w:i/>
          <w:iCs/>
        </w:rPr>
        <w:t>B</w:t>
      </w:r>
    </w:p>
    <w:p w14:paraId="33E0A82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Beneficiary: </w:t>
      </w:r>
      <w:r w:rsidRPr="009D15D8">
        <w:rPr>
          <w:rFonts w:ascii="Times New Roman" w:eastAsia="Times New Roman" w:hAnsi="Times New Roman" w:cs="Times New Roman"/>
          <w:color w:val="747474"/>
          <w:sz w:val="21"/>
          <w:szCs w:val="21"/>
        </w:rPr>
        <w:t>The beneficiary is the person who receives benefits and/or coverage under a healthcare plan. The beneficiary of an insurance plan may not be the person paying for the plan, as is the case for young children covered under their parents’ plans.</w:t>
      </w:r>
    </w:p>
    <w:p w14:paraId="25E67974" w14:textId="77777777" w:rsidR="00B63FA1" w:rsidRPr="00FD6EDC" w:rsidRDefault="00B63FA1" w:rsidP="00FD6EDC">
      <w:pPr>
        <w:rPr>
          <w:i/>
          <w:iCs/>
          <w:smallCaps/>
        </w:rPr>
      </w:pPr>
      <w:r w:rsidRPr="00FD6EDC">
        <w:rPr>
          <w:i/>
          <w:iCs/>
          <w:smallCaps/>
        </w:rPr>
        <w:t>C</w:t>
      </w:r>
    </w:p>
    <w:p w14:paraId="15CE1E1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Capitation: </w:t>
      </w:r>
      <w:r w:rsidRPr="009D15D8">
        <w:rPr>
          <w:rFonts w:ascii="Times New Roman" w:eastAsia="Times New Roman" w:hAnsi="Times New Roman" w:cs="Times New Roman"/>
          <w:color w:val="747474"/>
          <w:sz w:val="21"/>
          <w:szCs w:val="21"/>
        </w:rPr>
        <w:t>A fixed payment that a patient makes to a health insurance company or provider to recoup costs incurred from various healthcare services. A capitation is different from a deductible or co-pay.</w:t>
      </w:r>
    </w:p>
    <w:p w14:paraId="13D7148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Charity Care: </w:t>
      </w:r>
      <w:r w:rsidRPr="009D15D8">
        <w:rPr>
          <w:rFonts w:ascii="Times New Roman" w:eastAsia="Times New Roman" w:hAnsi="Times New Roman" w:cs="Times New Roman"/>
          <w:color w:val="747474"/>
          <w:sz w:val="21"/>
          <w:szCs w:val="21"/>
        </w:rPr>
        <w:t>This type of care is administered at reduced or zero cost to patients who cannot afford healthcare. Providers may offer charity care at their discretion.</w:t>
      </w:r>
    </w:p>
    <w:p w14:paraId="3D3A556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Clean Claim: </w:t>
      </w:r>
      <w:r w:rsidRPr="009D15D8">
        <w:rPr>
          <w:rFonts w:ascii="Times New Roman" w:eastAsia="Times New Roman" w:hAnsi="Times New Roman" w:cs="Times New Roman"/>
          <w:color w:val="747474"/>
          <w:sz w:val="21"/>
          <w:szCs w:val="21"/>
        </w:rPr>
        <w:t>This refers to a medical claim filed with a health insurance company that is free of errors and processed in a timely manner. Some providers may send claims to organizations that specialize in producing clean claims, like clearinghouses.</w:t>
      </w:r>
    </w:p>
    <w:p w14:paraId="01EB47A2"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Clearinghouse: </w:t>
      </w:r>
      <w:r w:rsidRPr="009D15D8">
        <w:rPr>
          <w:rFonts w:ascii="Times New Roman" w:eastAsia="Times New Roman" w:hAnsi="Times New Roman" w:cs="Times New Roman"/>
          <w:color w:val="747474"/>
          <w:sz w:val="21"/>
          <w:szCs w:val="21"/>
        </w:rPr>
        <w:t>Clearinghouses are facilities that review and correct medical claims as necessary before sending them to insurance companies for final processing. This meticulous editing process for claims is known in the medical billing industry as “scrubbing.”</w:t>
      </w:r>
    </w:p>
    <w:p w14:paraId="3A27C4F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Centers for Medicare and Medicaid Services (CMS): </w:t>
      </w:r>
      <w:r w:rsidRPr="009D15D8">
        <w:rPr>
          <w:rFonts w:ascii="Times New Roman" w:eastAsia="Times New Roman" w:hAnsi="Times New Roman" w:cs="Times New Roman"/>
          <w:color w:val="747474"/>
          <w:sz w:val="21"/>
          <w:szCs w:val="21"/>
        </w:rPr>
        <w:t>The CMS is the federal entity that manages and administers healthcare coverage through Medicare and Medicaid. CMS coordinates with providers and enrollees to provide healthcare to over 100 million Americans.</w:t>
      </w:r>
    </w:p>
    <w:p w14:paraId="22BB99D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CMS 1500: </w:t>
      </w:r>
      <w:r w:rsidRPr="009D15D8">
        <w:rPr>
          <w:rFonts w:ascii="Times New Roman" w:eastAsia="Times New Roman" w:hAnsi="Times New Roman" w:cs="Times New Roman"/>
          <w:color w:val="747474"/>
          <w:sz w:val="21"/>
          <w:szCs w:val="21"/>
        </w:rPr>
        <w:t>The CMS 1500 is a paper medical claim form used for transmitting claims based on coverage by Medicare and Medicaid plans. Commercial insurance providers often require that providers use CMS 1500 forms to process their own paper claims.</w:t>
      </w:r>
    </w:p>
    <w:p w14:paraId="1209856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Coding: </w:t>
      </w:r>
      <w:r w:rsidRPr="009D15D8">
        <w:rPr>
          <w:rFonts w:ascii="Times New Roman" w:eastAsia="Times New Roman" w:hAnsi="Times New Roman" w:cs="Times New Roman"/>
          <w:color w:val="747474"/>
          <w:sz w:val="21"/>
          <w:szCs w:val="21"/>
        </w:rPr>
        <w:t xml:space="preserve">Coding is the process of translating a physician’s documentation about a patient’s medical condition and health services rendered into medical codes that are then plugged into a claim for processing with an insurance company. Medical billing specialists must be familiar with many code sets </w:t>
      </w:r>
      <w:proofErr w:type="gramStart"/>
      <w:r w:rsidRPr="009D15D8">
        <w:rPr>
          <w:rFonts w:ascii="Times New Roman" w:eastAsia="Times New Roman" w:hAnsi="Times New Roman" w:cs="Times New Roman"/>
          <w:color w:val="747474"/>
          <w:sz w:val="21"/>
          <w:szCs w:val="21"/>
        </w:rPr>
        <w:t>in order to</w:t>
      </w:r>
      <w:proofErr w:type="gramEnd"/>
      <w:r w:rsidRPr="009D15D8">
        <w:rPr>
          <w:rFonts w:ascii="Times New Roman" w:eastAsia="Times New Roman" w:hAnsi="Times New Roman" w:cs="Times New Roman"/>
          <w:color w:val="747474"/>
          <w:sz w:val="21"/>
          <w:szCs w:val="21"/>
        </w:rPr>
        <w:t xml:space="preserve"> perform their job duties.</w:t>
      </w:r>
    </w:p>
    <w:p w14:paraId="124E9D8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COBRA Insurance: </w:t>
      </w:r>
      <w:r w:rsidRPr="009D15D8">
        <w:rPr>
          <w:rFonts w:ascii="Times New Roman" w:eastAsia="Times New Roman" w:hAnsi="Times New Roman" w:cs="Times New Roman"/>
          <w:color w:val="747474"/>
          <w:sz w:val="21"/>
          <w:szCs w:val="21"/>
        </w:rPr>
        <w:t>A federal program that allows a person terminated from their employer to retain health insurance they had with that employer for up to 18 months, or 36 months if the former employee is disabled.</w:t>
      </w:r>
    </w:p>
    <w:p w14:paraId="6CFDFBD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Co-Insurance: </w:t>
      </w:r>
      <w:r w:rsidRPr="009D15D8">
        <w:rPr>
          <w:rFonts w:ascii="Times New Roman" w:eastAsia="Times New Roman" w:hAnsi="Times New Roman" w:cs="Times New Roman"/>
          <w:color w:val="747474"/>
          <w:sz w:val="21"/>
          <w:szCs w:val="21"/>
        </w:rPr>
        <w:t>The percentage of coverage that a patient is responsible for paying after an insurance company pays the portion agreed upon in a health plan. Co-insurance percentages vary depending on the health plan.</w:t>
      </w:r>
    </w:p>
    <w:p w14:paraId="66B4337C"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Collection Ratio: </w:t>
      </w:r>
      <w:r w:rsidRPr="009D15D8">
        <w:rPr>
          <w:rFonts w:ascii="Times New Roman" w:eastAsia="Times New Roman" w:hAnsi="Times New Roman" w:cs="Times New Roman"/>
          <w:color w:val="747474"/>
          <w:sz w:val="21"/>
          <w:szCs w:val="21"/>
        </w:rPr>
        <w:t>This refers to the ratio of payments received relative to the total amount owed to providers.</w:t>
      </w:r>
    </w:p>
    <w:p w14:paraId="2A2812F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Contractual Adjustment: </w:t>
      </w:r>
      <w:r w:rsidRPr="009D15D8">
        <w:rPr>
          <w:rFonts w:ascii="Times New Roman" w:eastAsia="Times New Roman" w:hAnsi="Times New Roman" w:cs="Times New Roman"/>
          <w:color w:val="747474"/>
          <w:sz w:val="21"/>
          <w:szCs w:val="21"/>
        </w:rPr>
        <w:t>This refers to a binding agree between a provider, patient, and insurance company wherein the provider agrees to charges that it will write off on behalf of the patient. Contractual adjustments may occur when there is a discrepancy between what a provider charges for healthcare services and what an insurance company has decided to pay for that service.</w:t>
      </w:r>
    </w:p>
    <w:p w14:paraId="5E6C24F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Coordination of Benefits (COB): </w:t>
      </w:r>
      <w:r w:rsidRPr="009D15D8">
        <w:rPr>
          <w:rFonts w:ascii="Times New Roman" w:eastAsia="Times New Roman" w:hAnsi="Times New Roman" w:cs="Times New Roman"/>
          <w:color w:val="747474"/>
          <w:sz w:val="21"/>
          <w:szCs w:val="21"/>
        </w:rPr>
        <w:t>COB occurs when a patient is covered by more than one insurance plan. In this situation one insurance company will become the primary carrier and all other companies will be considered secondary and tertiary carriers that may cover costs left after the primary carrier has paid.</w:t>
      </w:r>
    </w:p>
    <w:p w14:paraId="75D2B0AE" w14:textId="11B72CFC"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Co-Pay: </w:t>
      </w:r>
      <w:r w:rsidRPr="009D15D8">
        <w:rPr>
          <w:rFonts w:ascii="Times New Roman" w:eastAsia="Times New Roman" w:hAnsi="Times New Roman" w:cs="Times New Roman"/>
          <w:color w:val="747474"/>
          <w:sz w:val="21"/>
          <w:szCs w:val="21"/>
        </w:rPr>
        <w:t xml:space="preserve">A patient’s co-pay is the amount that must be paid to a provider before they receive any treatment or services. Co-pays are separate from a </w:t>
      </w:r>
      <w:r w:rsidR="00943241" w:rsidRPr="009D15D8">
        <w:rPr>
          <w:rFonts w:ascii="Times New Roman" w:eastAsia="Times New Roman" w:hAnsi="Times New Roman" w:cs="Times New Roman"/>
          <w:color w:val="747474"/>
          <w:sz w:val="21"/>
          <w:szCs w:val="21"/>
        </w:rPr>
        <w:t>deductible and</w:t>
      </w:r>
      <w:r w:rsidRPr="009D15D8">
        <w:rPr>
          <w:rFonts w:ascii="Times New Roman" w:eastAsia="Times New Roman" w:hAnsi="Times New Roman" w:cs="Times New Roman"/>
          <w:color w:val="747474"/>
          <w:sz w:val="21"/>
          <w:szCs w:val="21"/>
        </w:rPr>
        <w:t xml:space="preserve"> will vary depending on a person’s insurance plan.</w:t>
      </w:r>
    </w:p>
    <w:p w14:paraId="2ED0EFB5" w14:textId="18BB6069"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Current Procedural Technology (CPT) Code: </w:t>
      </w:r>
      <w:r w:rsidRPr="009D15D8">
        <w:rPr>
          <w:rFonts w:ascii="Times New Roman" w:eastAsia="Times New Roman" w:hAnsi="Times New Roman" w:cs="Times New Roman"/>
          <w:color w:val="747474"/>
          <w:sz w:val="21"/>
          <w:szCs w:val="21"/>
        </w:rPr>
        <w:t xml:space="preserve">CPT codes represent treatments and procedures performed by a physician in a 5-digit format. CPT codes are entered together with ICD-9 codes that explain a patient’s diagnosis. Medical billing specialists will enter CPT codes into </w:t>
      </w:r>
      <w:r w:rsidR="00943241" w:rsidRPr="009D15D8">
        <w:rPr>
          <w:rFonts w:ascii="Times New Roman" w:eastAsia="Times New Roman" w:hAnsi="Times New Roman" w:cs="Times New Roman"/>
          <w:color w:val="747474"/>
          <w:sz w:val="21"/>
          <w:szCs w:val="21"/>
        </w:rPr>
        <w:t>claims,</w:t>
      </w:r>
      <w:r w:rsidRPr="009D15D8">
        <w:rPr>
          <w:rFonts w:ascii="Times New Roman" w:eastAsia="Times New Roman" w:hAnsi="Times New Roman" w:cs="Times New Roman"/>
          <w:color w:val="747474"/>
          <w:sz w:val="21"/>
          <w:szCs w:val="21"/>
        </w:rPr>
        <w:t xml:space="preserve"> so insurance companies understand the nature of healthcare a patient received with a provider.</w:t>
      </w:r>
    </w:p>
    <w:p w14:paraId="2088CD32"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Credentialing: </w:t>
      </w:r>
      <w:r w:rsidRPr="009D15D8">
        <w:rPr>
          <w:rFonts w:ascii="Times New Roman" w:eastAsia="Times New Roman" w:hAnsi="Times New Roman" w:cs="Times New Roman"/>
          <w:color w:val="747474"/>
          <w:sz w:val="21"/>
          <w:szCs w:val="21"/>
        </w:rPr>
        <w:t xml:space="preserve">The application process for a provider to coordinate with an insurance company. Once providers have become credentialed with an insurance company, they </w:t>
      </w:r>
      <w:proofErr w:type="gramStart"/>
      <w:r w:rsidRPr="009D15D8">
        <w:rPr>
          <w:rFonts w:ascii="Times New Roman" w:eastAsia="Times New Roman" w:hAnsi="Times New Roman" w:cs="Times New Roman"/>
          <w:color w:val="747474"/>
          <w:sz w:val="21"/>
          <w:szCs w:val="21"/>
        </w:rPr>
        <w:t>have the opportunity to</w:t>
      </w:r>
      <w:proofErr w:type="gramEnd"/>
      <w:r w:rsidRPr="009D15D8">
        <w:rPr>
          <w:rFonts w:ascii="Times New Roman" w:eastAsia="Times New Roman" w:hAnsi="Times New Roman" w:cs="Times New Roman"/>
          <w:color w:val="747474"/>
          <w:sz w:val="21"/>
          <w:szCs w:val="21"/>
        </w:rPr>
        <w:t xml:space="preserve"> work with that company in providing affordable healthcare to patients.</w:t>
      </w:r>
    </w:p>
    <w:p w14:paraId="6FE4B75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Crossover Claim: </w:t>
      </w:r>
      <w:r w:rsidRPr="009D15D8">
        <w:rPr>
          <w:rFonts w:ascii="Times New Roman" w:eastAsia="Times New Roman" w:hAnsi="Times New Roman" w:cs="Times New Roman"/>
          <w:color w:val="747474"/>
          <w:sz w:val="21"/>
          <w:szCs w:val="21"/>
        </w:rPr>
        <w:t>When claim information is sent from a primary insurance carrier to a secondary insurance carrier, or vice versa.</w:t>
      </w:r>
    </w:p>
    <w:p w14:paraId="345A7C31" w14:textId="77777777" w:rsidR="00B63FA1" w:rsidRPr="00FD6EDC" w:rsidRDefault="00B63FA1" w:rsidP="00FD6EDC">
      <w:pPr>
        <w:rPr>
          <w:i/>
          <w:iCs/>
        </w:rPr>
      </w:pPr>
      <w:r w:rsidRPr="00FD6EDC">
        <w:rPr>
          <w:i/>
          <w:iCs/>
        </w:rPr>
        <w:t>D</w:t>
      </w:r>
    </w:p>
    <w:p w14:paraId="0E5B39BF"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Date of Service (DOS): </w:t>
      </w:r>
      <w:r w:rsidRPr="009D15D8">
        <w:rPr>
          <w:rFonts w:ascii="Times New Roman" w:eastAsia="Times New Roman" w:hAnsi="Times New Roman" w:cs="Times New Roman"/>
          <w:color w:val="747474"/>
          <w:sz w:val="21"/>
          <w:szCs w:val="21"/>
        </w:rPr>
        <w:t>The date when a provider performed healthcare services and procedures.</w:t>
      </w:r>
    </w:p>
    <w:p w14:paraId="43088453"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Deductible: </w:t>
      </w:r>
      <w:r w:rsidRPr="009D15D8">
        <w:rPr>
          <w:rFonts w:ascii="Times New Roman" w:eastAsia="Times New Roman" w:hAnsi="Times New Roman" w:cs="Times New Roman"/>
          <w:color w:val="747474"/>
          <w:sz w:val="21"/>
          <w:szCs w:val="21"/>
        </w:rPr>
        <w:t>The amount a patient must pay before an insurance carrier starts their healthcare coverage. Deductibles range in price according to terms set in a person’s health plan.</w:t>
      </w:r>
    </w:p>
    <w:p w14:paraId="38C94543"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Demographics: </w:t>
      </w:r>
      <w:r w:rsidRPr="009D15D8">
        <w:rPr>
          <w:rFonts w:ascii="Times New Roman" w:eastAsia="Times New Roman" w:hAnsi="Times New Roman" w:cs="Times New Roman"/>
          <w:color w:val="747474"/>
          <w:sz w:val="21"/>
          <w:szCs w:val="21"/>
        </w:rPr>
        <w:t>The patient’s information required for filing a claim, such as age, sex, address, and family information. An insurance company may deny a claim if it contains inaccurate demographics.</w:t>
      </w:r>
    </w:p>
    <w:p w14:paraId="1C72DE6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Durable Medical Equipment (DME): </w:t>
      </w:r>
      <w:r w:rsidRPr="009D15D8">
        <w:rPr>
          <w:rFonts w:ascii="Times New Roman" w:eastAsia="Times New Roman" w:hAnsi="Times New Roman" w:cs="Times New Roman"/>
          <w:color w:val="747474"/>
          <w:sz w:val="21"/>
          <w:szCs w:val="21"/>
        </w:rPr>
        <w:t>This refers to medical implements that can be reused such as stretchers, wheelchairs, canes, crutches, and bedpans.</w:t>
      </w:r>
    </w:p>
    <w:p w14:paraId="6ACE453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proofErr w:type="spellStart"/>
      <w:r w:rsidRPr="009D15D8">
        <w:rPr>
          <w:rFonts w:ascii="Times New Roman" w:eastAsia="Times New Roman" w:hAnsi="Times New Roman" w:cs="Times New Roman"/>
          <w:b/>
          <w:bCs/>
          <w:color w:val="747474"/>
          <w:sz w:val="21"/>
          <w:szCs w:val="21"/>
        </w:rPr>
        <w:t>Downcoding</w:t>
      </w:r>
      <w:proofErr w:type="spellEnd"/>
      <w:r w:rsidRPr="009D15D8">
        <w:rPr>
          <w:rFonts w:ascii="Times New Roman" w:eastAsia="Times New Roman" w:hAnsi="Times New Roman" w:cs="Times New Roman"/>
          <w:b/>
          <w:bCs/>
          <w:color w:val="747474"/>
          <w:sz w:val="21"/>
          <w:szCs w:val="21"/>
        </w:rPr>
        <w:t>: </w:t>
      </w:r>
      <w:proofErr w:type="spellStart"/>
      <w:r w:rsidRPr="009D15D8">
        <w:rPr>
          <w:rFonts w:ascii="Times New Roman" w:eastAsia="Times New Roman" w:hAnsi="Times New Roman" w:cs="Times New Roman"/>
          <w:color w:val="747474"/>
          <w:sz w:val="21"/>
          <w:szCs w:val="21"/>
        </w:rPr>
        <w:t>Downcoding</w:t>
      </w:r>
      <w:proofErr w:type="spellEnd"/>
      <w:r w:rsidRPr="009D15D8">
        <w:rPr>
          <w:rFonts w:ascii="Times New Roman" w:eastAsia="Times New Roman" w:hAnsi="Times New Roman" w:cs="Times New Roman"/>
          <w:color w:val="747474"/>
          <w:sz w:val="21"/>
          <w:szCs w:val="21"/>
        </w:rPr>
        <w:t xml:space="preserve"> occurs when an insurance company finds there is insufficient evidence on a claim to prove that a provider performed coded medical services and so they reduce or remove those codes. </w:t>
      </w:r>
      <w:proofErr w:type="spellStart"/>
      <w:r w:rsidRPr="009D15D8">
        <w:rPr>
          <w:rFonts w:ascii="Times New Roman" w:eastAsia="Times New Roman" w:hAnsi="Times New Roman" w:cs="Times New Roman"/>
          <w:color w:val="747474"/>
          <w:sz w:val="21"/>
          <w:szCs w:val="21"/>
        </w:rPr>
        <w:t>Downcoding</w:t>
      </w:r>
      <w:proofErr w:type="spellEnd"/>
      <w:r w:rsidRPr="009D15D8">
        <w:rPr>
          <w:rFonts w:ascii="Times New Roman" w:eastAsia="Times New Roman" w:hAnsi="Times New Roman" w:cs="Times New Roman"/>
          <w:color w:val="747474"/>
          <w:sz w:val="21"/>
          <w:szCs w:val="21"/>
        </w:rPr>
        <w:t xml:space="preserve"> usually reduces the cost of a claim.</w:t>
      </w:r>
    </w:p>
    <w:p w14:paraId="0642B7F0"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Duplicate Coverage Inquiry (DCI): </w:t>
      </w:r>
      <w:r w:rsidRPr="009D15D8">
        <w:rPr>
          <w:rFonts w:ascii="Times New Roman" w:eastAsia="Times New Roman" w:hAnsi="Times New Roman" w:cs="Times New Roman"/>
          <w:color w:val="747474"/>
          <w:sz w:val="21"/>
          <w:szCs w:val="21"/>
        </w:rPr>
        <w:t>A formal request typically submitted by an insurance carrier to determine if other health coverage exists for a patient.</w:t>
      </w:r>
    </w:p>
    <w:p w14:paraId="67F48ECB" w14:textId="77777777" w:rsidR="00B63FA1" w:rsidRPr="00FD6EDC" w:rsidRDefault="00B63FA1" w:rsidP="00FD6EDC">
      <w:pPr>
        <w:rPr>
          <w:i/>
          <w:iCs/>
        </w:rPr>
      </w:pPr>
      <w:r w:rsidRPr="00FD6EDC">
        <w:rPr>
          <w:i/>
          <w:iCs/>
        </w:rPr>
        <w:t>E</w:t>
      </w:r>
    </w:p>
    <w:p w14:paraId="2C16E4E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Electronic Claim: </w:t>
      </w:r>
      <w:r w:rsidRPr="009D15D8">
        <w:rPr>
          <w:rFonts w:ascii="Times New Roman" w:eastAsia="Times New Roman" w:hAnsi="Times New Roman" w:cs="Times New Roman"/>
          <w:color w:val="747474"/>
          <w:sz w:val="21"/>
          <w:szCs w:val="21"/>
        </w:rPr>
        <w:t>A claim sent electronically to an insurance carrier from a provider’s billing software. The format of electronic claims must adhere to medical billing regulations set forth by the federal government.</w:t>
      </w:r>
    </w:p>
    <w:p w14:paraId="05574B22"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Electronic Funds Transfer: </w:t>
      </w:r>
      <w:r w:rsidRPr="009D15D8">
        <w:rPr>
          <w:rFonts w:ascii="Times New Roman" w:eastAsia="Times New Roman" w:hAnsi="Times New Roman" w:cs="Times New Roman"/>
          <w:color w:val="747474"/>
          <w:sz w:val="21"/>
          <w:szCs w:val="21"/>
        </w:rPr>
        <w:t>A method of transferring money electronically from a patient’s bank account to a provider or an insurance carrier.</w:t>
      </w:r>
    </w:p>
    <w:p w14:paraId="2BC58EA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Electronic Medical Records (EMR)</w:t>
      </w:r>
      <w:r w:rsidRPr="009D15D8">
        <w:rPr>
          <w:rFonts w:ascii="Times New Roman" w:eastAsia="Times New Roman" w:hAnsi="Times New Roman" w:cs="Times New Roman"/>
          <w:color w:val="747474"/>
          <w:sz w:val="21"/>
          <w:szCs w:val="21"/>
        </w:rPr>
        <w:t>: EMR is a digitized medical record for a patient managed by a provider onsite. EMRs may also be referred to as electronic health records (EHRs).</w:t>
      </w:r>
    </w:p>
    <w:p w14:paraId="54FF3FE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Enrollee: </w:t>
      </w:r>
      <w:r w:rsidRPr="009D15D8">
        <w:rPr>
          <w:rFonts w:ascii="Times New Roman" w:eastAsia="Times New Roman" w:hAnsi="Times New Roman" w:cs="Times New Roman"/>
          <w:color w:val="747474"/>
          <w:sz w:val="21"/>
          <w:szCs w:val="21"/>
        </w:rPr>
        <w:t>A person covered by a health insurance plan.</w:t>
      </w:r>
    </w:p>
    <w:p w14:paraId="5F43DAC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Explanation of Benefits (EOB): </w:t>
      </w:r>
      <w:r w:rsidRPr="009D15D8">
        <w:rPr>
          <w:rFonts w:ascii="Times New Roman" w:eastAsia="Times New Roman" w:hAnsi="Times New Roman" w:cs="Times New Roman"/>
          <w:color w:val="747474"/>
          <w:sz w:val="21"/>
          <w:szCs w:val="21"/>
        </w:rPr>
        <w:t xml:space="preserve">A document attached to a processed medical claim wherein the insurance company explains the services they will cover for a patient’s healthcare treatments. EOBs may also explain what is wrong with a claim if </w:t>
      </w:r>
      <w:proofErr w:type="gramStart"/>
      <w:r w:rsidRPr="009D15D8">
        <w:rPr>
          <w:rFonts w:ascii="Times New Roman" w:eastAsia="Times New Roman" w:hAnsi="Times New Roman" w:cs="Times New Roman"/>
          <w:color w:val="747474"/>
          <w:sz w:val="21"/>
          <w:szCs w:val="21"/>
        </w:rPr>
        <w:t>it’s</w:t>
      </w:r>
      <w:proofErr w:type="gramEnd"/>
      <w:r w:rsidRPr="009D15D8">
        <w:rPr>
          <w:rFonts w:ascii="Times New Roman" w:eastAsia="Times New Roman" w:hAnsi="Times New Roman" w:cs="Times New Roman"/>
          <w:color w:val="747474"/>
          <w:sz w:val="21"/>
          <w:szCs w:val="21"/>
        </w:rPr>
        <w:t xml:space="preserve"> denied.</w:t>
      </w:r>
    </w:p>
    <w:p w14:paraId="492CA92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Electronic Remittance Advice (ERA): </w:t>
      </w:r>
      <w:r w:rsidRPr="009D15D8">
        <w:rPr>
          <w:rFonts w:ascii="Times New Roman" w:eastAsia="Times New Roman" w:hAnsi="Times New Roman" w:cs="Times New Roman"/>
          <w:color w:val="747474"/>
          <w:sz w:val="21"/>
          <w:szCs w:val="21"/>
        </w:rPr>
        <w:t>The digital version of EOB, which specifies the details of payments made on a claim either by an insurance company or required by the patient.</w:t>
      </w:r>
    </w:p>
    <w:p w14:paraId="42F59EDF" w14:textId="77777777" w:rsidR="00B63FA1" w:rsidRPr="00FD6EDC" w:rsidRDefault="00B63FA1" w:rsidP="00FD6EDC">
      <w:pPr>
        <w:rPr>
          <w:i/>
          <w:iCs/>
        </w:rPr>
      </w:pPr>
      <w:r w:rsidRPr="00FD6EDC">
        <w:rPr>
          <w:i/>
          <w:iCs/>
        </w:rPr>
        <w:t>F</w:t>
      </w:r>
    </w:p>
    <w:p w14:paraId="63DCA2E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Fee for Service: </w:t>
      </w:r>
      <w:r w:rsidRPr="009D15D8">
        <w:rPr>
          <w:rFonts w:ascii="Times New Roman" w:eastAsia="Times New Roman" w:hAnsi="Times New Roman" w:cs="Times New Roman"/>
          <w:color w:val="747474"/>
          <w:sz w:val="21"/>
          <w:szCs w:val="21"/>
        </w:rPr>
        <w:t>This refers to a type of health insurance wherein the provider is paid for every service they perform. People with fee-for-service plans typically can choose whatever hospitals and physicians they want to receive care in exchange for higher deductibles and co-pays.</w:t>
      </w:r>
    </w:p>
    <w:p w14:paraId="22628C9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Fee Schedule: </w:t>
      </w:r>
      <w:r w:rsidRPr="009D15D8">
        <w:rPr>
          <w:rFonts w:ascii="Times New Roman" w:eastAsia="Times New Roman" w:hAnsi="Times New Roman" w:cs="Times New Roman"/>
          <w:color w:val="747474"/>
          <w:sz w:val="21"/>
          <w:szCs w:val="21"/>
        </w:rPr>
        <w:t>A document that outlines the costs associated for each medical service designated by a CPT code.</w:t>
      </w:r>
    </w:p>
    <w:p w14:paraId="39B7CBA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Financial Responsibility: </w:t>
      </w:r>
      <w:r w:rsidRPr="009D15D8">
        <w:rPr>
          <w:rFonts w:ascii="Times New Roman" w:eastAsia="Times New Roman" w:hAnsi="Times New Roman" w:cs="Times New Roman"/>
          <w:color w:val="747474"/>
          <w:sz w:val="21"/>
          <w:szCs w:val="21"/>
        </w:rPr>
        <w:t>Whoever owes the healthcare provider money has financial responsibility for the services rendered. Insurance companies or patients themselves may be financially responsible for the costs associated with care, and these responsibilities are typically outlined in a healthcare plan contract.</w:t>
      </w:r>
    </w:p>
    <w:p w14:paraId="69E0538F"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Formulary: </w:t>
      </w:r>
      <w:r w:rsidRPr="009D15D8">
        <w:rPr>
          <w:rFonts w:ascii="Times New Roman" w:eastAsia="Times New Roman" w:hAnsi="Times New Roman" w:cs="Times New Roman"/>
          <w:color w:val="747474"/>
          <w:sz w:val="21"/>
          <w:szCs w:val="21"/>
        </w:rPr>
        <w:t>A table or list provided by an insurance carrier that explains what prescription drugs are covered under their health plans.</w:t>
      </w:r>
    </w:p>
    <w:p w14:paraId="5DF284BE"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Fraud: </w:t>
      </w:r>
      <w:r w:rsidRPr="009D15D8">
        <w:rPr>
          <w:rFonts w:ascii="Times New Roman" w:eastAsia="Times New Roman" w:hAnsi="Times New Roman" w:cs="Times New Roman"/>
          <w:color w:val="747474"/>
          <w:sz w:val="21"/>
          <w:szCs w:val="21"/>
        </w:rPr>
        <w:t>Providers, patients, or insurance companies may be found fraudulent if they are deliberately achieving their ends through misrepresentation, dishonesty, and general illegal activity. Medical billing specialists who deliberately enter incorrect or misleading information on claims may be charged with fraud.</w:t>
      </w:r>
    </w:p>
    <w:p w14:paraId="3BDB472A" w14:textId="77777777" w:rsidR="00B63FA1" w:rsidRPr="00FD6EDC" w:rsidRDefault="00B63FA1" w:rsidP="00FD6EDC">
      <w:pPr>
        <w:rPr>
          <w:i/>
          <w:iCs/>
        </w:rPr>
      </w:pPr>
      <w:r w:rsidRPr="00FD6EDC">
        <w:rPr>
          <w:i/>
          <w:iCs/>
        </w:rPr>
        <w:t>G</w:t>
      </w:r>
    </w:p>
    <w:p w14:paraId="6645DD70" w14:textId="0EEC209A"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Group Health Plan (GH</w:t>
      </w:r>
      <w:r w:rsidR="00320E32">
        <w:rPr>
          <w:rFonts w:ascii="Times New Roman" w:eastAsia="Times New Roman" w:hAnsi="Times New Roman" w:cs="Times New Roman"/>
          <w:b/>
          <w:bCs/>
          <w:color w:val="747474"/>
          <w:sz w:val="21"/>
          <w:szCs w:val="21"/>
        </w:rPr>
        <w:t>P</w:t>
      </w:r>
      <w:r w:rsidRPr="009D15D8">
        <w:rPr>
          <w:rFonts w:ascii="Times New Roman" w:eastAsia="Times New Roman" w:hAnsi="Times New Roman" w:cs="Times New Roman"/>
          <w:b/>
          <w:bCs/>
          <w:color w:val="747474"/>
          <w:sz w:val="21"/>
          <w:szCs w:val="21"/>
        </w:rPr>
        <w:t>): </w:t>
      </w:r>
      <w:r w:rsidRPr="009D15D8">
        <w:rPr>
          <w:rFonts w:ascii="Times New Roman" w:eastAsia="Times New Roman" w:hAnsi="Times New Roman" w:cs="Times New Roman"/>
          <w:color w:val="747474"/>
          <w:sz w:val="21"/>
          <w:szCs w:val="21"/>
        </w:rPr>
        <w:t>A plan provided by an employer to provide healthcare options to a large group of employees.</w:t>
      </w:r>
    </w:p>
    <w:p w14:paraId="214D00F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Group Name: </w:t>
      </w:r>
      <w:r w:rsidRPr="009D15D8">
        <w:rPr>
          <w:rFonts w:ascii="Times New Roman" w:eastAsia="Times New Roman" w:hAnsi="Times New Roman" w:cs="Times New Roman"/>
          <w:color w:val="747474"/>
          <w:sz w:val="21"/>
          <w:szCs w:val="21"/>
        </w:rPr>
        <w:t>The name of the group, insurance carrier, or insurance plan that covers a patient.</w:t>
      </w:r>
    </w:p>
    <w:p w14:paraId="222A86BB"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Group Number: </w:t>
      </w:r>
      <w:r w:rsidRPr="009D15D8">
        <w:rPr>
          <w:rFonts w:ascii="Times New Roman" w:eastAsia="Times New Roman" w:hAnsi="Times New Roman" w:cs="Times New Roman"/>
          <w:color w:val="747474"/>
          <w:sz w:val="21"/>
          <w:szCs w:val="21"/>
        </w:rPr>
        <w:t>A number given to a patient by their insurance carrier that identifies the group or plan under which they are covered.</w:t>
      </w:r>
    </w:p>
    <w:p w14:paraId="547F719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Guarantor: </w:t>
      </w:r>
      <w:r w:rsidRPr="009D15D8">
        <w:rPr>
          <w:rFonts w:ascii="Times New Roman" w:eastAsia="Times New Roman" w:hAnsi="Times New Roman" w:cs="Times New Roman"/>
          <w:color w:val="747474"/>
          <w:sz w:val="21"/>
          <w:szCs w:val="21"/>
        </w:rPr>
        <w:t>The party paying for an insurance plan who is not the patient. Parents, for example, would be the guarantors for their children’s health insurance.</w:t>
      </w:r>
    </w:p>
    <w:p w14:paraId="3835E73B" w14:textId="77777777" w:rsidR="00B63FA1" w:rsidRPr="00FD6EDC" w:rsidRDefault="00B63FA1" w:rsidP="00FD6EDC">
      <w:pPr>
        <w:rPr>
          <w:i/>
          <w:iCs/>
        </w:rPr>
      </w:pPr>
      <w:r w:rsidRPr="00FD6EDC">
        <w:rPr>
          <w:i/>
          <w:iCs/>
        </w:rPr>
        <w:t>H</w:t>
      </w:r>
    </w:p>
    <w:p w14:paraId="06F48473"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Healthcare Financing Administration: </w:t>
      </w:r>
      <w:r w:rsidRPr="009D15D8">
        <w:rPr>
          <w:rFonts w:ascii="Times New Roman" w:eastAsia="Times New Roman" w:hAnsi="Times New Roman" w:cs="Times New Roman"/>
          <w:color w:val="747474"/>
          <w:sz w:val="21"/>
          <w:szCs w:val="21"/>
        </w:rPr>
        <w:t>The former name for what is now the CMS.</w:t>
      </w:r>
    </w:p>
    <w:p w14:paraId="6D89E43A" w14:textId="39644976"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Healthcare Financing Administration Common Procedure Coding System (HCPCS):</w:t>
      </w:r>
      <w:r w:rsidR="00320E32">
        <w:rPr>
          <w:rFonts w:ascii="Times New Roman" w:eastAsia="Times New Roman" w:hAnsi="Times New Roman" w:cs="Times New Roman"/>
          <w:b/>
          <w:bCs/>
          <w:color w:val="747474"/>
          <w:sz w:val="21"/>
          <w:szCs w:val="21"/>
        </w:rPr>
        <w:t xml:space="preserve"> </w:t>
      </w:r>
      <w:r w:rsidRPr="009D15D8">
        <w:rPr>
          <w:rFonts w:ascii="Times New Roman" w:eastAsia="Times New Roman" w:hAnsi="Times New Roman" w:cs="Times New Roman"/>
          <w:color w:val="747474"/>
          <w:sz w:val="21"/>
          <w:szCs w:val="21"/>
        </w:rPr>
        <w:t>HCPCS is a three-tier coding system used to explain services, devices, and diagnoses administered in the healthcare system. Medical billing specialists utilize codes in the HCPCS daily to file claims.</w:t>
      </w:r>
    </w:p>
    <w:p w14:paraId="5E05649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Healthcare Insurance: </w:t>
      </w:r>
      <w:r w:rsidRPr="009D15D8">
        <w:rPr>
          <w:rFonts w:ascii="Times New Roman" w:eastAsia="Times New Roman" w:hAnsi="Times New Roman" w:cs="Times New Roman"/>
          <w:color w:val="747474"/>
          <w:sz w:val="21"/>
          <w:szCs w:val="21"/>
        </w:rPr>
        <w:t>This is insurance offered to a group or an individual to cover costs associated with medical care and treatment. Those covered by healthcare insurance typically must pay a premium for their plans in addition to various co-pays and/or deductibles.</w:t>
      </w:r>
    </w:p>
    <w:p w14:paraId="0FF1589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Healthcare Provider: </w:t>
      </w:r>
      <w:r w:rsidRPr="009D15D8">
        <w:rPr>
          <w:rFonts w:ascii="Times New Roman" w:eastAsia="Times New Roman" w:hAnsi="Times New Roman" w:cs="Times New Roman"/>
          <w:color w:val="747474"/>
          <w:sz w:val="21"/>
          <w:szCs w:val="21"/>
        </w:rPr>
        <w:t>These are the entities that offer healthcare services to patients, including hospitals, physicians, and private clinics, hospices, nursing homes, and other healthcare facilities.</w:t>
      </w:r>
    </w:p>
    <w:p w14:paraId="38DF666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Healthcare Reform Act: </w:t>
      </w:r>
      <w:r w:rsidRPr="009D15D8">
        <w:rPr>
          <w:rFonts w:ascii="Times New Roman" w:eastAsia="Times New Roman" w:hAnsi="Times New Roman" w:cs="Times New Roman"/>
          <w:color w:val="747474"/>
          <w:sz w:val="21"/>
          <w:szCs w:val="21"/>
        </w:rPr>
        <w:t>The major healthcare legislation passed in 2010 designed to make healthcare accessible and less expensive for more Americans.</w:t>
      </w:r>
    </w:p>
    <w:p w14:paraId="6D675773"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 Insurance Claim: </w:t>
      </w:r>
      <w:r w:rsidRPr="009D15D8">
        <w:rPr>
          <w:rFonts w:ascii="Times New Roman" w:eastAsia="Times New Roman" w:hAnsi="Times New Roman" w:cs="Times New Roman"/>
          <w:color w:val="747474"/>
          <w:sz w:val="21"/>
          <w:szCs w:val="21"/>
        </w:rPr>
        <w:t>The unique number ascribed to an individual to identify them as a beneficiary of Medicare.</w:t>
      </w:r>
    </w:p>
    <w:p w14:paraId="3092CA2B"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 Insurance Portability and Accountability Act (HIPAA)</w:t>
      </w:r>
      <w:r w:rsidRPr="009D15D8">
        <w:rPr>
          <w:rFonts w:ascii="Times New Roman" w:eastAsia="Times New Roman" w:hAnsi="Times New Roman" w:cs="Times New Roman"/>
          <w:color w:val="747474"/>
          <w:sz w:val="21"/>
          <w:szCs w:val="21"/>
        </w:rPr>
        <w:t>: HIPAA was a law passed in 1996 with an aim to improve the scope of healthcare services and establish regulations for securing healthcare records from unwanted parties.</w:t>
      </w:r>
    </w:p>
    <w:p w14:paraId="0A62A2F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Health Maintenance Organization (HMO): </w:t>
      </w:r>
      <w:r w:rsidRPr="009D15D8">
        <w:rPr>
          <w:rFonts w:ascii="Times New Roman" w:eastAsia="Times New Roman" w:hAnsi="Times New Roman" w:cs="Times New Roman"/>
          <w:color w:val="747474"/>
          <w:sz w:val="21"/>
          <w:szCs w:val="21"/>
        </w:rPr>
        <w:t>HMOs are networks of healthcare providers that offer healthcare plans to people for medical services exclusively in their network.</w:t>
      </w:r>
    </w:p>
    <w:p w14:paraId="0512EBA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Hospice: </w:t>
      </w:r>
      <w:r w:rsidRPr="009D15D8">
        <w:rPr>
          <w:rFonts w:ascii="Times New Roman" w:eastAsia="Times New Roman" w:hAnsi="Times New Roman" w:cs="Times New Roman"/>
          <w:color w:val="747474"/>
          <w:sz w:val="21"/>
          <w:szCs w:val="21"/>
        </w:rPr>
        <w:t>This refers to medical care and treatment for persons who are terminally ill.</w:t>
      </w:r>
    </w:p>
    <w:p w14:paraId="41E6F3D4" w14:textId="77777777" w:rsidR="00B63FA1" w:rsidRPr="00FD6EDC" w:rsidRDefault="00B63FA1" w:rsidP="00FD6EDC">
      <w:pPr>
        <w:rPr>
          <w:i/>
          <w:iCs/>
        </w:rPr>
      </w:pPr>
      <w:r w:rsidRPr="00FD6EDC">
        <w:rPr>
          <w:i/>
          <w:iCs/>
        </w:rPr>
        <w:t>I</w:t>
      </w:r>
    </w:p>
    <w:p w14:paraId="5424F28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ICD-9 Codes: </w:t>
      </w:r>
      <w:r w:rsidRPr="009D15D8">
        <w:rPr>
          <w:rFonts w:ascii="Times New Roman" w:eastAsia="Times New Roman" w:hAnsi="Times New Roman" w:cs="Times New Roman"/>
          <w:color w:val="747474"/>
          <w:sz w:val="21"/>
          <w:szCs w:val="21"/>
        </w:rPr>
        <w:t>ICD-9 codes are an international set of codes that represent diagnoses of patients’ medical conditions as determined by physicians. Medical billing specialists may translate a physician’s diagnoses into ICD-9 codes and then input those codes into a claim for processing.</w:t>
      </w:r>
    </w:p>
    <w:p w14:paraId="28789E60" w14:textId="479C2BCF"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ICD-10 Codes</w:t>
      </w:r>
      <w:r w:rsidRPr="009D15D8">
        <w:rPr>
          <w:rFonts w:ascii="Times New Roman" w:eastAsia="Times New Roman" w:hAnsi="Times New Roman" w:cs="Times New Roman"/>
          <w:color w:val="747474"/>
          <w:sz w:val="21"/>
          <w:szCs w:val="21"/>
        </w:rPr>
        <w:t xml:space="preserve">: ICD-10 codes are the updated international set of codes based on the preceding ICD-9 codes. ICD-10 codes </w:t>
      </w:r>
      <w:r w:rsidR="00B6512A">
        <w:rPr>
          <w:rFonts w:ascii="Times New Roman" w:eastAsia="Times New Roman" w:hAnsi="Times New Roman" w:cs="Times New Roman"/>
          <w:color w:val="747474"/>
          <w:sz w:val="21"/>
          <w:szCs w:val="21"/>
        </w:rPr>
        <w:t>were made</w:t>
      </w:r>
      <w:r w:rsidRPr="009D15D8">
        <w:rPr>
          <w:rFonts w:ascii="Times New Roman" w:eastAsia="Times New Roman" w:hAnsi="Times New Roman" w:cs="Times New Roman"/>
          <w:color w:val="747474"/>
          <w:sz w:val="21"/>
          <w:szCs w:val="21"/>
        </w:rPr>
        <w:t xml:space="preserve"> mandatory in the American healthcare system </w:t>
      </w:r>
      <w:r w:rsidR="00B6512A">
        <w:rPr>
          <w:rFonts w:ascii="Times New Roman" w:eastAsia="Times New Roman" w:hAnsi="Times New Roman" w:cs="Times New Roman"/>
          <w:color w:val="747474"/>
          <w:sz w:val="21"/>
          <w:szCs w:val="21"/>
        </w:rPr>
        <w:t>in</w:t>
      </w:r>
      <w:r w:rsidRPr="009D15D8">
        <w:rPr>
          <w:rFonts w:ascii="Times New Roman" w:eastAsia="Times New Roman" w:hAnsi="Times New Roman" w:cs="Times New Roman"/>
          <w:color w:val="747474"/>
          <w:sz w:val="21"/>
          <w:szCs w:val="21"/>
        </w:rPr>
        <w:t xml:space="preserve"> October </w:t>
      </w:r>
      <w:r w:rsidR="00D32A19">
        <w:rPr>
          <w:rFonts w:ascii="Times New Roman" w:eastAsia="Times New Roman" w:hAnsi="Times New Roman" w:cs="Times New Roman"/>
          <w:color w:val="747474"/>
          <w:sz w:val="21"/>
          <w:szCs w:val="21"/>
        </w:rPr>
        <w:t xml:space="preserve">1, </w:t>
      </w:r>
      <w:r w:rsidRPr="009D15D8">
        <w:rPr>
          <w:rFonts w:ascii="Times New Roman" w:eastAsia="Times New Roman" w:hAnsi="Times New Roman" w:cs="Times New Roman"/>
          <w:color w:val="747474"/>
          <w:sz w:val="21"/>
          <w:szCs w:val="21"/>
        </w:rPr>
        <w:t>201</w:t>
      </w:r>
      <w:r w:rsidR="00D32A19">
        <w:rPr>
          <w:rFonts w:ascii="Times New Roman" w:eastAsia="Times New Roman" w:hAnsi="Times New Roman" w:cs="Times New Roman"/>
          <w:color w:val="747474"/>
          <w:sz w:val="21"/>
          <w:szCs w:val="21"/>
        </w:rPr>
        <w:t>5</w:t>
      </w:r>
      <w:r w:rsidRPr="009D15D8">
        <w:rPr>
          <w:rFonts w:ascii="Times New Roman" w:eastAsia="Times New Roman" w:hAnsi="Times New Roman" w:cs="Times New Roman"/>
          <w:color w:val="747474"/>
          <w:sz w:val="21"/>
          <w:szCs w:val="21"/>
        </w:rPr>
        <w:t>.</w:t>
      </w:r>
    </w:p>
    <w:p w14:paraId="36609C5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Incremental Nursing Charge: </w:t>
      </w:r>
      <w:r w:rsidRPr="009D15D8">
        <w:rPr>
          <w:rFonts w:ascii="Times New Roman" w:eastAsia="Times New Roman" w:hAnsi="Times New Roman" w:cs="Times New Roman"/>
          <w:color w:val="747474"/>
          <w:sz w:val="21"/>
          <w:szCs w:val="21"/>
        </w:rPr>
        <w:t xml:space="preserve">A fee for nursing services a patient is charged </w:t>
      </w:r>
      <w:proofErr w:type="gramStart"/>
      <w:r w:rsidRPr="009D15D8">
        <w:rPr>
          <w:rFonts w:ascii="Times New Roman" w:eastAsia="Times New Roman" w:hAnsi="Times New Roman" w:cs="Times New Roman"/>
          <w:color w:val="747474"/>
          <w:sz w:val="21"/>
          <w:szCs w:val="21"/>
        </w:rPr>
        <w:t>during the course of</w:t>
      </w:r>
      <w:proofErr w:type="gramEnd"/>
      <w:r w:rsidRPr="009D15D8">
        <w:rPr>
          <w:rFonts w:ascii="Times New Roman" w:eastAsia="Times New Roman" w:hAnsi="Times New Roman" w:cs="Times New Roman"/>
          <w:color w:val="747474"/>
          <w:sz w:val="21"/>
          <w:szCs w:val="21"/>
        </w:rPr>
        <w:t xml:space="preserve"> receiving healthcare.</w:t>
      </w:r>
    </w:p>
    <w:p w14:paraId="335AC32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Indemnity: </w:t>
      </w:r>
      <w:r w:rsidRPr="009D15D8">
        <w:rPr>
          <w:rFonts w:ascii="Times New Roman" w:eastAsia="Times New Roman" w:hAnsi="Times New Roman" w:cs="Times New Roman"/>
          <w:color w:val="747474"/>
          <w:sz w:val="21"/>
          <w:szCs w:val="21"/>
        </w:rPr>
        <w:t>A type of health insurance plan whereby a patient can receive care with any provider in exchange for higher deductibles and co-pays. Indemnity is also known as fee-for-service insurance.</w:t>
      </w:r>
    </w:p>
    <w:p w14:paraId="3BFD40D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In-Network: </w:t>
      </w:r>
      <w:r w:rsidRPr="009D15D8">
        <w:rPr>
          <w:rFonts w:ascii="Times New Roman" w:eastAsia="Times New Roman" w:hAnsi="Times New Roman" w:cs="Times New Roman"/>
          <w:color w:val="747474"/>
          <w:sz w:val="21"/>
          <w:szCs w:val="21"/>
        </w:rPr>
        <w:t>This term refers to a provider’s relationship with a health insurance company. A group of providers may contract with an insurance company to form a network of healthcare professionals that a person can choose from when enrolled in that insurance company’s health plan.</w:t>
      </w:r>
    </w:p>
    <w:p w14:paraId="7DADBFF0"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Inpatient: </w:t>
      </w:r>
      <w:r w:rsidRPr="009D15D8">
        <w:rPr>
          <w:rFonts w:ascii="Times New Roman" w:eastAsia="Times New Roman" w:hAnsi="Times New Roman" w:cs="Times New Roman"/>
          <w:color w:val="747474"/>
          <w:sz w:val="21"/>
          <w:szCs w:val="21"/>
        </w:rPr>
        <w:t>Inpatient care occurs when a person has a stay at a healthcare facility for more than 24 hours.</w:t>
      </w:r>
    </w:p>
    <w:p w14:paraId="31BEC58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Intensive Care: </w:t>
      </w:r>
      <w:r w:rsidRPr="009D15D8">
        <w:rPr>
          <w:rFonts w:ascii="Times New Roman" w:eastAsia="Times New Roman" w:hAnsi="Times New Roman" w:cs="Times New Roman"/>
          <w:color w:val="747474"/>
          <w:sz w:val="21"/>
          <w:szCs w:val="21"/>
        </w:rPr>
        <w:t>Intensive care is the unit of a hospital reserved for patients that need immediate treatment and close monitoring by healthcare professionals for serious illnesses, conditions, and injuries.</w:t>
      </w:r>
    </w:p>
    <w:p w14:paraId="7EAC8EBA" w14:textId="77777777" w:rsidR="00B63FA1" w:rsidRPr="00FD6EDC" w:rsidRDefault="00B63FA1" w:rsidP="00FD6EDC">
      <w:pPr>
        <w:rPr>
          <w:i/>
          <w:iCs/>
        </w:rPr>
      </w:pPr>
      <w:r w:rsidRPr="00FD6EDC">
        <w:rPr>
          <w:i/>
          <w:iCs/>
        </w:rPr>
        <w:t>M</w:t>
      </w:r>
    </w:p>
    <w:p w14:paraId="3CEC68BC"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Medicare Administrative Contractor (MAC):</w:t>
      </w:r>
      <w:r w:rsidRPr="009D15D8">
        <w:rPr>
          <w:rFonts w:ascii="Times New Roman" w:eastAsia="Times New Roman" w:hAnsi="Times New Roman" w:cs="Times New Roman"/>
          <w:color w:val="747474"/>
          <w:sz w:val="21"/>
          <w:szCs w:val="21"/>
        </w:rPr>
        <w:t> MACs are contract with the federal government to process Medicare claims.</w:t>
      </w:r>
    </w:p>
    <w:p w14:paraId="547AD52E"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Managed Care Plan: </w:t>
      </w:r>
      <w:r w:rsidRPr="009D15D8">
        <w:rPr>
          <w:rFonts w:ascii="Times New Roman" w:eastAsia="Times New Roman" w:hAnsi="Times New Roman" w:cs="Times New Roman"/>
          <w:color w:val="747474"/>
          <w:sz w:val="21"/>
          <w:szCs w:val="21"/>
        </w:rPr>
        <w:t>A health insurance plan whereby patients can only receive coverage if they see providers who operate in the insurance company’s network.</w:t>
      </w:r>
    </w:p>
    <w:p w14:paraId="07511A3C"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Maximum Out of Pocket: </w:t>
      </w:r>
      <w:r w:rsidRPr="009D15D8">
        <w:rPr>
          <w:rFonts w:ascii="Times New Roman" w:eastAsia="Times New Roman" w:hAnsi="Times New Roman" w:cs="Times New Roman"/>
          <w:color w:val="747474"/>
          <w:sz w:val="21"/>
          <w:szCs w:val="21"/>
        </w:rPr>
        <w:t>The amount a patient is required to pay. After a patient reaches their maximum out of pocket, their healthcare costs should be covered by their plan.</w:t>
      </w:r>
    </w:p>
    <w:p w14:paraId="4D681F13" w14:textId="317E1E2C"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Medical Assistant: </w:t>
      </w:r>
      <w:r w:rsidRPr="009D15D8">
        <w:rPr>
          <w:rFonts w:ascii="Times New Roman" w:eastAsia="Times New Roman" w:hAnsi="Times New Roman" w:cs="Times New Roman"/>
          <w:color w:val="747474"/>
          <w:sz w:val="21"/>
          <w:szCs w:val="21"/>
        </w:rPr>
        <w:t>An employee in the healthcare system such as a physi</w:t>
      </w:r>
      <w:r w:rsidR="000975E3">
        <w:rPr>
          <w:rFonts w:ascii="Times New Roman" w:eastAsia="Times New Roman" w:hAnsi="Times New Roman" w:cs="Times New Roman"/>
          <w:color w:val="747474"/>
          <w:sz w:val="21"/>
          <w:szCs w:val="21"/>
        </w:rPr>
        <w:t>ci</w:t>
      </w:r>
      <w:r w:rsidRPr="009D15D8">
        <w:rPr>
          <w:rFonts w:ascii="Times New Roman" w:eastAsia="Times New Roman" w:hAnsi="Times New Roman" w:cs="Times New Roman"/>
          <w:color w:val="747474"/>
          <w:sz w:val="21"/>
          <w:szCs w:val="21"/>
        </w:rPr>
        <w:t>an’s assistant or a nurse practitioner who perform duties in administration, nursing, and other ancillary care.</w:t>
      </w:r>
    </w:p>
    <w:p w14:paraId="2E7D0D5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Medical Coder: </w:t>
      </w:r>
      <w:r w:rsidRPr="009D15D8">
        <w:rPr>
          <w:rFonts w:ascii="Times New Roman" w:eastAsia="Times New Roman" w:hAnsi="Times New Roman" w:cs="Times New Roman"/>
          <w:color w:val="747474"/>
          <w:sz w:val="21"/>
          <w:szCs w:val="21"/>
        </w:rPr>
        <w:t>A medical coder is responsible for assigning various medical codes to services and healthcare plans described by a physician on a patient’s superbill.</w:t>
      </w:r>
    </w:p>
    <w:p w14:paraId="0E75C2F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Medical Billing Specialist: </w:t>
      </w:r>
      <w:r w:rsidRPr="009D15D8">
        <w:rPr>
          <w:rFonts w:ascii="Times New Roman" w:eastAsia="Times New Roman" w:hAnsi="Times New Roman" w:cs="Times New Roman"/>
          <w:color w:val="747474"/>
          <w:sz w:val="21"/>
          <w:szCs w:val="21"/>
        </w:rPr>
        <w:t>A medical billing specialist is responsible for using information regarding services and treatments performed by a healthcare provider to complete a claim for filing with an insurance company so the provider can be paid.</w:t>
      </w:r>
    </w:p>
    <w:p w14:paraId="56C5109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Medical Necessity: </w:t>
      </w:r>
      <w:r w:rsidRPr="009D15D8">
        <w:rPr>
          <w:rFonts w:ascii="Times New Roman" w:eastAsia="Times New Roman" w:hAnsi="Times New Roman" w:cs="Times New Roman"/>
          <w:color w:val="747474"/>
          <w:sz w:val="21"/>
          <w:szCs w:val="21"/>
        </w:rPr>
        <w:t>This term refers to healthcare services or treatments that a patient requires to treat a serious medical condition or illness. This does not include cosmetic or investigative services.</w:t>
      </w:r>
    </w:p>
    <w:p w14:paraId="611B282E"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Medical Record Number: </w:t>
      </w:r>
      <w:r w:rsidRPr="009D15D8">
        <w:rPr>
          <w:rFonts w:ascii="Times New Roman" w:eastAsia="Times New Roman" w:hAnsi="Times New Roman" w:cs="Times New Roman"/>
          <w:color w:val="747474"/>
          <w:sz w:val="21"/>
          <w:szCs w:val="21"/>
        </w:rPr>
        <w:t>A unique number ascribed to a person’s medical record so it can be differentiated from other medical records.</w:t>
      </w:r>
    </w:p>
    <w:p w14:paraId="69E1620C"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Medicare Secondary Payer: </w:t>
      </w:r>
      <w:r w:rsidRPr="009D15D8">
        <w:rPr>
          <w:rFonts w:ascii="Times New Roman" w:eastAsia="Times New Roman" w:hAnsi="Times New Roman" w:cs="Times New Roman"/>
          <w:color w:val="747474"/>
          <w:sz w:val="21"/>
          <w:szCs w:val="21"/>
        </w:rPr>
        <w:t>The insurance company that covers any remaining expenses after Medicare has paid for a patient’s coverage.</w:t>
      </w:r>
    </w:p>
    <w:p w14:paraId="067B5170" w14:textId="5B88ED46"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Medical Savings Account (MSA): </w:t>
      </w:r>
      <w:r w:rsidRPr="009D15D8">
        <w:rPr>
          <w:rFonts w:ascii="Times New Roman" w:eastAsia="Times New Roman" w:hAnsi="Times New Roman" w:cs="Times New Roman"/>
          <w:color w:val="747474"/>
          <w:sz w:val="21"/>
          <w:szCs w:val="21"/>
        </w:rPr>
        <w:t>An</w:t>
      </w:r>
      <w:r w:rsidRPr="009D15D8">
        <w:rPr>
          <w:rFonts w:ascii="Times New Roman" w:eastAsia="Times New Roman" w:hAnsi="Times New Roman" w:cs="Times New Roman"/>
          <w:b/>
          <w:bCs/>
          <w:color w:val="747474"/>
          <w:sz w:val="21"/>
          <w:szCs w:val="21"/>
        </w:rPr>
        <w:t> </w:t>
      </w:r>
      <w:r w:rsidRPr="009D15D8">
        <w:rPr>
          <w:rFonts w:ascii="Times New Roman" w:eastAsia="Times New Roman" w:hAnsi="Times New Roman" w:cs="Times New Roman"/>
          <w:color w:val="747474"/>
          <w:sz w:val="21"/>
          <w:szCs w:val="21"/>
        </w:rPr>
        <w:t>MSA is an optional health insurance payment plan whereby a person apportions part of their untaxed earnings to an account reserved for healthcare expenses. A person with an MSA can only contribute a certain amount of their earnings per year. Any unused funds in an MSA at the end of the year will roll over to the next.</w:t>
      </w:r>
    </w:p>
    <w:p w14:paraId="43EFD87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Medical Transcription: </w:t>
      </w:r>
      <w:r w:rsidRPr="009D15D8">
        <w:rPr>
          <w:rFonts w:ascii="Times New Roman" w:eastAsia="Times New Roman" w:hAnsi="Times New Roman" w:cs="Times New Roman"/>
          <w:color w:val="747474"/>
          <w:sz w:val="21"/>
          <w:szCs w:val="21"/>
        </w:rPr>
        <w:t>The process of converting dictated or handwritten instructions, observations, and documentation into digital text formats.</w:t>
      </w:r>
    </w:p>
    <w:p w14:paraId="634FBEC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Medicare: </w:t>
      </w:r>
      <w:r w:rsidRPr="009D15D8">
        <w:rPr>
          <w:rFonts w:ascii="Times New Roman" w:eastAsia="Times New Roman" w:hAnsi="Times New Roman" w:cs="Times New Roman"/>
          <w:color w:val="747474"/>
          <w:sz w:val="21"/>
          <w:szCs w:val="21"/>
        </w:rPr>
        <w:t>Medicare is a government insurance program started in 1965 to provide healthcare coverage for persons over 65 and eligible people with disabilities.</w:t>
      </w:r>
    </w:p>
    <w:p w14:paraId="0556633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Medicare Coinsurance Days: </w:t>
      </w:r>
      <w:r w:rsidRPr="009D15D8">
        <w:rPr>
          <w:rFonts w:ascii="Times New Roman" w:eastAsia="Times New Roman" w:hAnsi="Times New Roman" w:cs="Times New Roman"/>
          <w:color w:val="747474"/>
          <w:sz w:val="21"/>
          <w:szCs w:val="21"/>
        </w:rPr>
        <w:t>Referring to 61st through 90th days of inpatient treatment, the law requires that patients pay for a portion of their healthcare during Medicare coinsurance days.</w:t>
      </w:r>
    </w:p>
    <w:p w14:paraId="5E29BC3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Medicare Donut Hole: </w:t>
      </w:r>
      <w:r w:rsidRPr="009D15D8">
        <w:rPr>
          <w:rFonts w:ascii="Times New Roman" w:eastAsia="Times New Roman" w:hAnsi="Times New Roman" w:cs="Times New Roman"/>
          <w:color w:val="747474"/>
          <w:sz w:val="21"/>
          <w:szCs w:val="21"/>
        </w:rPr>
        <w:t>This term refers to the discrepancy between the limits of healthcare insurance coverage and the Medicare Part D coverage limits for prescription drugs. </w:t>
      </w:r>
      <w:r w:rsidRPr="009D15D8">
        <w:rPr>
          <w:rFonts w:ascii="Times New Roman" w:eastAsia="Times New Roman" w:hAnsi="Times New Roman" w:cs="Times New Roman"/>
          <w:b/>
          <w:bCs/>
          <w:color w:val="747474"/>
          <w:sz w:val="21"/>
          <w:szCs w:val="21"/>
        </w:rPr>
        <w:t> </w:t>
      </w:r>
    </w:p>
    <w:p w14:paraId="0225F4B4"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Medicaid: </w:t>
      </w:r>
      <w:r w:rsidRPr="009D15D8">
        <w:rPr>
          <w:rFonts w:ascii="Times New Roman" w:eastAsia="Times New Roman" w:hAnsi="Times New Roman" w:cs="Times New Roman"/>
          <w:color w:val="747474"/>
          <w:sz w:val="21"/>
          <w:szCs w:val="21"/>
        </w:rPr>
        <w:t>Medicaid is a joint federal and state assistance program started in 1965 to provide health insurance to lower-income persons. Both state and federal governments fund Medicaid programs, but each state is responsible for running its own version of Medicaid within the minimum requirements established by federal law.</w:t>
      </w:r>
    </w:p>
    <w:p w14:paraId="052960C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Medigap: </w:t>
      </w:r>
      <w:r w:rsidRPr="009D15D8">
        <w:rPr>
          <w:rFonts w:ascii="Times New Roman" w:eastAsia="Times New Roman" w:hAnsi="Times New Roman" w:cs="Times New Roman"/>
          <w:color w:val="747474"/>
          <w:sz w:val="21"/>
          <w:szCs w:val="21"/>
        </w:rPr>
        <w:t>Medigap is supplemental health insurance under Medicaid for eligible persons who need help covering co-pays, deductibles, and other large fees.</w:t>
      </w:r>
    </w:p>
    <w:p w14:paraId="1F718AE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Modifier: </w:t>
      </w:r>
      <w:r w:rsidRPr="009D15D8">
        <w:rPr>
          <w:rFonts w:ascii="Times New Roman" w:eastAsia="Times New Roman" w:hAnsi="Times New Roman" w:cs="Times New Roman"/>
          <w:color w:val="747474"/>
          <w:sz w:val="21"/>
          <w:szCs w:val="21"/>
        </w:rPr>
        <w:t>Modifiers are additions to CPT codes that explain alterations and modifications to an otherwise routine treatment, exam, or service.</w:t>
      </w:r>
    </w:p>
    <w:p w14:paraId="61EAB8FE" w14:textId="77777777" w:rsidR="00B63FA1" w:rsidRPr="00FD6EDC" w:rsidRDefault="00B63FA1" w:rsidP="00FD6EDC">
      <w:pPr>
        <w:rPr>
          <w:i/>
          <w:iCs/>
        </w:rPr>
      </w:pPr>
      <w:r w:rsidRPr="00FD6EDC">
        <w:rPr>
          <w:i/>
          <w:iCs/>
        </w:rPr>
        <w:t>N</w:t>
      </w:r>
    </w:p>
    <w:p w14:paraId="04C7C740"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Non-Covered Charge (N/C): </w:t>
      </w:r>
      <w:r w:rsidRPr="009D15D8">
        <w:rPr>
          <w:rFonts w:ascii="Times New Roman" w:eastAsia="Times New Roman" w:hAnsi="Times New Roman" w:cs="Times New Roman"/>
          <w:color w:val="747474"/>
          <w:sz w:val="21"/>
          <w:szCs w:val="21"/>
        </w:rPr>
        <w:t>N/Cs are procedures and services not covered by a person’s health insurance plan.</w:t>
      </w:r>
    </w:p>
    <w:p w14:paraId="7774443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Network Provider: </w:t>
      </w:r>
      <w:r w:rsidRPr="009D15D8">
        <w:rPr>
          <w:rFonts w:ascii="Times New Roman" w:eastAsia="Times New Roman" w:hAnsi="Times New Roman" w:cs="Times New Roman"/>
          <w:color w:val="747474"/>
          <w:sz w:val="21"/>
          <w:szCs w:val="21"/>
        </w:rPr>
        <w:t>A provider within a health insurance company’s network that has contracted with the company to provide discounted services to a patient covered under the company’s plan.</w:t>
      </w:r>
    </w:p>
    <w:p w14:paraId="4269EF30"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Non-participation: </w:t>
      </w:r>
      <w:r w:rsidRPr="009D15D8">
        <w:rPr>
          <w:rFonts w:ascii="Times New Roman" w:eastAsia="Times New Roman" w:hAnsi="Times New Roman" w:cs="Times New Roman"/>
          <w:color w:val="747474"/>
          <w:sz w:val="21"/>
          <w:szCs w:val="21"/>
        </w:rPr>
        <w:t xml:space="preserve">This is when a provider refuses to accept Medicare payments as </w:t>
      </w:r>
      <w:proofErr w:type="gramStart"/>
      <w:r w:rsidRPr="009D15D8">
        <w:rPr>
          <w:rFonts w:ascii="Times New Roman" w:eastAsia="Times New Roman" w:hAnsi="Times New Roman" w:cs="Times New Roman"/>
          <w:color w:val="747474"/>
          <w:sz w:val="21"/>
          <w:szCs w:val="21"/>
        </w:rPr>
        <w:t>a sufficient amount</w:t>
      </w:r>
      <w:proofErr w:type="gramEnd"/>
      <w:r w:rsidRPr="009D15D8">
        <w:rPr>
          <w:rFonts w:ascii="Times New Roman" w:eastAsia="Times New Roman" w:hAnsi="Times New Roman" w:cs="Times New Roman"/>
          <w:color w:val="747474"/>
          <w:sz w:val="21"/>
          <w:szCs w:val="21"/>
        </w:rPr>
        <w:t xml:space="preserve"> for the services rendered to a patient.</w:t>
      </w:r>
    </w:p>
    <w:p w14:paraId="7509CBFE" w14:textId="6918B702"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Not Otherwise Specified (NOS): </w:t>
      </w:r>
      <w:r w:rsidRPr="009D15D8">
        <w:rPr>
          <w:rFonts w:ascii="Times New Roman" w:eastAsia="Times New Roman" w:hAnsi="Times New Roman" w:cs="Times New Roman"/>
          <w:color w:val="747474"/>
          <w:sz w:val="21"/>
          <w:szCs w:val="21"/>
        </w:rPr>
        <w:t>This term is used in ICD-</w:t>
      </w:r>
      <w:r w:rsidR="002F1209">
        <w:rPr>
          <w:rFonts w:ascii="Times New Roman" w:eastAsia="Times New Roman" w:hAnsi="Times New Roman" w:cs="Times New Roman"/>
          <w:color w:val="747474"/>
          <w:sz w:val="21"/>
          <w:szCs w:val="21"/>
        </w:rPr>
        <w:t>10</w:t>
      </w:r>
      <w:r w:rsidRPr="009D15D8">
        <w:rPr>
          <w:rFonts w:ascii="Times New Roman" w:eastAsia="Times New Roman" w:hAnsi="Times New Roman" w:cs="Times New Roman"/>
          <w:color w:val="747474"/>
          <w:sz w:val="21"/>
          <w:szCs w:val="21"/>
        </w:rPr>
        <w:t xml:space="preserve"> codes to describe conditions with unspecified diagnoses.</w:t>
      </w:r>
    </w:p>
    <w:p w14:paraId="13E3BB0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National Provider Identifier (NPI) Number: </w:t>
      </w:r>
      <w:r w:rsidRPr="009D15D8">
        <w:rPr>
          <w:rFonts w:ascii="Times New Roman" w:eastAsia="Times New Roman" w:hAnsi="Times New Roman" w:cs="Times New Roman"/>
          <w:color w:val="747474"/>
          <w:sz w:val="21"/>
          <w:szCs w:val="21"/>
        </w:rPr>
        <w:t>A unique 10-digit number ascribed to every healthcare provider in the U.S. as mandated by HIPAA.</w:t>
      </w:r>
    </w:p>
    <w:p w14:paraId="228A9073" w14:textId="77777777" w:rsidR="00B63FA1" w:rsidRPr="00FD6EDC" w:rsidRDefault="00B63FA1" w:rsidP="00FD6EDC">
      <w:pPr>
        <w:rPr>
          <w:i/>
          <w:iCs/>
        </w:rPr>
      </w:pPr>
      <w:r w:rsidRPr="00FD6EDC">
        <w:rPr>
          <w:i/>
          <w:iCs/>
        </w:rPr>
        <w:t>O</w:t>
      </w:r>
    </w:p>
    <w:p w14:paraId="4570E56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Out-of-Network: </w:t>
      </w:r>
      <w:r w:rsidRPr="009D15D8">
        <w:rPr>
          <w:rFonts w:ascii="Times New Roman" w:eastAsia="Times New Roman" w:hAnsi="Times New Roman" w:cs="Times New Roman"/>
          <w:color w:val="747474"/>
          <w:sz w:val="21"/>
          <w:szCs w:val="21"/>
        </w:rPr>
        <w:t xml:space="preserve">Out-of-network refers to providers outside of an established network of providers who contract with an insurance company to offer patients healthcare at a discounted rate. People who go to out-of-network providers typically </w:t>
      </w:r>
      <w:proofErr w:type="gramStart"/>
      <w:r w:rsidRPr="009D15D8">
        <w:rPr>
          <w:rFonts w:ascii="Times New Roman" w:eastAsia="Times New Roman" w:hAnsi="Times New Roman" w:cs="Times New Roman"/>
          <w:color w:val="747474"/>
          <w:sz w:val="21"/>
          <w:szCs w:val="21"/>
        </w:rPr>
        <w:t>have to</w:t>
      </w:r>
      <w:proofErr w:type="gramEnd"/>
      <w:r w:rsidRPr="009D15D8">
        <w:rPr>
          <w:rFonts w:ascii="Times New Roman" w:eastAsia="Times New Roman" w:hAnsi="Times New Roman" w:cs="Times New Roman"/>
          <w:color w:val="747474"/>
          <w:sz w:val="21"/>
          <w:szCs w:val="21"/>
        </w:rPr>
        <w:t xml:space="preserve"> pay more money to receive care.</w:t>
      </w:r>
    </w:p>
    <w:p w14:paraId="171DBBF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Outpatient: </w:t>
      </w:r>
      <w:r w:rsidRPr="009D15D8">
        <w:rPr>
          <w:rFonts w:ascii="Times New Roman" w:eastAsia="Times New Roman" w:hAnsi="Times New Roman" w:cs="Times New Roman"/>
          <w:color w:val="747474"/>
          <w:sz w:val="21"/>
          <w:szCs w:val="21"/>
        </w:rPr>
        <w:t xml:space="preserve">This term refers to healthcare treatment that </w:t>
      </w:r>
      <w:proofErr w:type="gramStart"/>
      <w:r w:rsidRPr="009D15D8">
        <w:rPr>
          <w:rFonts w:ascii="Times New Roman" w:eastAsia="Times New Roman" w:hAnsi="Times New Roman" w:cs="Times New Roman"/>
          <w:color w:val="747474"/>
          <w:sz w:val="21"/>
          <w:szCs w:val="21"/>
        </w:rPr>
        <w:t>doesn’t</w:t>
      </w:r>
      <w:proofErr w:type="gramEnd"/>
      <w:r w:rsidRPr="009D15D8">
        <w:rPr>
          <w:rFonts w:ascii="Times New Roman" w:eastAsia="Times New Roman" w:hAnsi="Times New Roman" w:cs="Times New Roman"/>
          <w:color w:val="747474"/>
          <w:sz w:val="21"/>
          <w:szCs w:val="21"/>
        </w:rPr>
        <w:t xml:space="preserve"> require an overnight hospital stay, including a routine visit to a primary care doctor or a non-invasive surgery.</w:t>
      </w:r>
    </w:p>
    <w:p w14:paraId="6AC0F63A" w14:textId="77777777" w:rsidR="00B63FA1" w:rsidRPr="00FD6EDC" w:rsidRDefault="00B63FA1" w:rsidP="00FD6EDC">
      <w:pPr>
        <w:rPr>
          <w:i/>
          <w:iCs/>
        </w:rPr>
      </w:pPr>
      <w:r w:rsidRPr="00FD6EDC">
        <w:rPr>
          <w:i/>
          <w:iCs/>
        </w:rPr>
        <w:t>P</w:t>
      </w:r>
    </w:p>
    <w:p w14:paraId="7A18F0B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Patient Responsibility: </w:t>
      </w:r>
      <w:r w:rsidRPr="009D15D8">
        <w:rPr>
          <w:rFonts w:ascii="Times New Roman" w:eastAsia="Times New Roman" w:hAnsi="Times New Roman" w:cs="Times New Roman"/>
          <w:color w:val="747474"/>
          <w:sz w:val="21"/>
          <w:szCs w:val="21"/>
        </w:rPr>
        <w:t>This refers to the amount a patient owes a provider after an insurance company pays for their portion of the medical expenses.</w:t>
      </w:r>
    </w:p>
    <w:p w14:paraId="29D77B3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Primary Care Physician (PCP): </w:t>
      </w:r>
      <w:r w:rsidRPr="009D15D8">
        <w:rPr>
          <w:rFonts w:ascii="Times New Roman" w:eastAsia="Times New Roman" w:hAnsi="Times New Roman" w:cs="Times New Roman"/>
          <w:color w:val="747474"/>
          <w:sz w:val="21"/>
          <w:szCs w:val="21"/>
        </w:rPr>
        <w:t xml:space="preserve">The physician who provides the basic healthcare services for a patient and recommends additional care for more serious </w:t>
      </w:r>
      <w:proofErr w:type="gramStart"/>
      <w:r w:rsidRPr="009D15D8">
        <w:rPr>
          <w:rFonts w:ascii="Times New Roman" w:eastAsia="Times New Roman" w:hAnsi="Times New Roman" w:cs="Times New Roman"/>
          <w:color w:val="747474"/>
          <w:sz w:val="21"/>
          <w:szCs w:val="21"/>
        </w:rPr>
        <w:t>treatments</w:t>
      </w:r>
      <w:proofErr w:type="gramEnd"/>
      <w:r w:rsidRPr="009D15D8">
        <w:rPr>
          <w:rFonts w:ascii="Times New Roman" w:eastAsia="Times New Roman" w:hAnsi="Times New Roman" w:cs="Times New Roman"/>
          <w:color w:val="747474"/>
          <w:sz w:val="21"/>
          <w:szCs w:val="21"/>
        </w:rPr>
        <w:t xml:space="preserve"> as necessary.</w:t>
      </w:r>
    </w:p>
    <w:p w14:paraId="4A9DD10E"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Point of Service Plans: </w:t>
      </w:r>
      <w:r w:rsidRPr="009D15D8">
        <w:rPr>
          <w:rFonts w:ascii="Times New Roman" w:eastAsia="Times New Roman" w:hAnsi="Times New Roman" w:cs="Times New Roman"/>
          <w:color w:val="747474"/>
          <w:sz w:val="21"/>
          <w:szCs w:val="21"/>
        </w:rPr>
        <w:t>A plan whereby patients with HMO membership may receive care at non-HMO providers in exchange for a referral and paying a higher deductible.</w:t>
      </w:r>
    </w:p>
    <w:p w14:paraId="2369E02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Place of Service Code: </w:t>
      </w:r>
      <w:r w:rsidRPr="009D15D8">
        <w:rPr>
          <w:rFonts w:ascii="Times New Roman" w:eastAsia="Times New Roman" w:hAnsi="Times New Roman" w:cs="Times New Roman"/>
          <w:color w:val="747474"/>
          <w:sz w:val="21"/>
          <w:szCs w:val="21"/>
        </w:rPr>
        <w:t>A two-digit code used on claims to explain what type of provider performed healthcare services on a patient.</w:t>
      </w:r>
    </w:p>
    <w:p w14:paraId="2FC8F862"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Preferred Provider Organization (PPO): </w:t>
      </w:r>
      <w:r w:rsidRPr="009D15D8">
        <w:rPr>
          <w:rFonts w:ascii="Times New Roman" w:eastAsia="Times New Roman" w:hAnsi="Times New Roman" w:cs="Times New Roman"/>
          <w:color w:val="747474"/>
          <w:sz w:val="21"/>
          <w:szCs w:val="21"/>
        </w:rPr>
        <w:t xml:space="preserve">A plan </w:t>
      </w:r>
      <w:proofErr w:type="gramStart"/>
      <w:r w:rsidRPr="009D15D8">
        <w:rPr>
          <w:rFonts w:ascii="Times New Roman" w:eastAsia="Times New Roman" w:hAnsi="Times New Roman" w:cs="Times New Roman"/>
          <w:color w:val="747474"/>
          <w:sz w:val="21"/>
          <w:szCs w:val="21"/>
        </w:rPr>
        <w:t>similar to</w:t>
      </w:r>
      <w:proofErr w:type="gramEnd"/>
      <w:r w:rsidRPr="009D15D8">
        <w:rPr>
          <w:rFonts w:ascii="Times New Roman" w:eastAsia="Times New Roman" w:hAnsi="Times New Roman" w:cs="Times New Roman"/>
          <w:color w:val="747474"/>
          <w:sz w:val="21"/>
          <w:szCs w:val="21"/>
        </w:rPr>
        <w:t xml:space="preserve"> an HMO whereby a patient can receive healthcare from providers within an established network set up by an insurance company.</w:t>
      </w:r>
    </w:p>
    <w:p w14:paraId="4BED94A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Practice Management Software: </w:t>
      </w:r>
      <w:r w:rsidRPr="009D15D8">
        <w:rPr>
          <w:rFonts w:ascii="Times New Roman" w:eastAsia="Times New Roman" w:hAnsi="Times New Roman" w:cs="Times New Roman"/>
          <w:color w:val="747474"/>
          <w:sz w:val="21"/>
          <w:szCs w:val="21"/>
        </w:rPr>
        <w:t>Software used for scheduling, billing, and recordkeeping at a provider’s office.</w:t>
      </w:r>
    </w:p>
    <w:p w14:paraId="746BB3D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Preauthorization: </w:t>
      </w:r>
      <w:r w:rsidRPr="009D15D8">
        <w:rPr>
          <w:rFonts w:ascii="Times New Roman" w:eastAsia="Times New Roman" w:hAnsi="Times New Roman" w:cs="Times New Roman"/>
          <w:color w:val="747474"/>
          <w:sz w:val="21"/>
          <w:szCs w:val="21"/>
        </w:rPr>
        <w:t>Some insurance plans require that a patient receive preauthorization from the insurance company prior to receiving certain medical services to make sure the company will cover expenses associated with those services.</w:t>
      </w:r>
    </w:p>
    <w:p w14:paraId="62DF004B"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Pre-Certification: </w:t>
      </w:r>
      <w:r w:rsidRPr="009D15D8">
        <w:rPr>
          <w:rFonts w:ascii="Times New Roman" w:eastAsia="Times New Roman" w:hAnsi="Times New Roman" w:cs="Times New Roman"/>
          <w:color w:val="747474"/>
          <w:sz w:val="21"/>
          <w:szCs w:val="21"/>
        </w:rPr>
        <w:t xml:space="preserve">A process </w:t>
      </w:r>
      <w:proofErr w:type="gramStart"/>
      <w:r w:rsidRPr="009D15D8">
        <w:rPr>
          <w:rFonts w:ascii="Times New Roman" w:eastAsia="Times New Roman" w:hAnsi="Times New Roman" w:cs="Times New Roman"/>
          <w:color w:val="747474"/>
          <w:sz w:val="21"/>
          <w:szCs w:val="21"/>
        </w:rPr>
        <w:t>similar to</w:t>
      </w:r>
      <w:proofErr w:type="gramEnd"/>
      <w:r w:rsidRPr="009D15D8">
        <w:rPr>
          <w:rFonts w:ascii="Times New Roman" w:eastAsia="Times New Roman" w:hAnsi="Times New Roman" w:cs="Times New Roman"/>
          <w:color w:val="747474"/>
          <w:sz w:val="21"/>
          <w:szCs w:val="21"/>
        </w:rPr>
        <w:t xml:space="preserve"> preauthorization whereby patients must check with insurance companies to see if a desired healthcare treatment or service is deemed medically necessary (and thus covered) by the company.</w:t>
      </w:r>
    </w:p>
    <w:p w14:paraId="201B184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Pre-determination: </w:t>
      </w:r>
      <w:r w:rsidRPr="009D15D8">
        <w:rPr>
          <w:rFonts w:ascii="Times New Roman" w:eastAsia="Times New Roman" w:hAnsi="Times New Roman" w:cs="Times New Roman"/>
          <w:color w:val="747474"/>
          <w:sz w:val="21"/>
          <w:szCs w:val="21"/>
        </w:rPr>
        <w:t>A maximum sum as explained in a healthcare plan an insurance company will pay for certain services or treatments.</w:t>
      </w:r>
    </w:p>
    <w:p w14:paraId="4A7F769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Pre-existing Condition (PEC): </w:t>
      </w:r>
      <w:r w:rsidRPr="009D15D8">
        <w:rPr>
          <w:rFonts w:ascii="Times New Roman" w:eastAsia="Times New Roman" w:hAnsi="Times New Roman" w:cs="Times New Roman"/>
          <w:color w:val="747474"/>
          <w:sz w:val="21"/>
          <w:szCs w:val="21"/>
        </w:rPr>
        <w:t>PEC is a medical condition a patient had before receiving coverage from an insurance company. A person might become ineligible for certain healthcare plans depending on the severity and length of their PEC.</w:t>
      </w:r>
    </w:p>
    <w:p w14:paraId="16F5896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Pre-</w:t>
      </w:r>
      <w:proofErr w:type="spellStart"/>
      <w:r w:rsidRPr="009D15D8">
        <w:rPr>
          <w:rFonts w:ascii="Times New Roman" w:eastAsia="Times New Roman" w:hAnsi="Times New Roman" w:cs="Times New Roman"/>
          <w:b/>
          <w:bCs/>
          <w:color w:val="747474"/>
          <w:sz w:val="21"/>
          <w:szCs w:val="21"/>
        </w:rPr>
        <w:t>exisiting</w:t>
      </w:r>
      <w:proofErr w:type="spellEnd"/>
      <w:r w:rsidRPr="009D15D8">
        <w:rPr>
          <w:rFonts w:ascii="Times New Roman" w:eastAsia="Times New Roman" w:hAnsi="Times New Roman" w:cs="Times New Roman"/>
          <w:b/>
          <w:bCs/>
          <w:color w:val="747474"/>
          <w:sz w:val="21"/>
          <w:szCs w:val="21"/>
        </w:rPr>
        <w:t xml:space="preserve"> Condition Exclusion: </w:t>
      </w:r>
      <w:r w:rsidRPr="009D15D8">
        <w:rPr>
          <w:rFonts w:ascii="Times New Roman" w:eastAsia="Times New Roman" w:hAnsi="Times New Roman" w:cs="Times New Roman"/>
          <w:color w:val="747474"/>
          <w:sz w:val="21"/>
          <w:szCs w:val="21"/>
        </w:rPr>
        <w:t>The existence of a PEC denies a person certain coverage in some health insurance plans.</w:t>
      </w:r>
    </w:p>
    <w:p w14:paraId="64A4E24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Premium: </w:t>
      </w:r>
      <w:r w:rsidRPr="009D15D8">
        <w:rPr>
          <w:rFonts w:ascii="Times New Roman" w:eastAsia="Times New Roman" w:hAnsi="Times New Roman" w:cs="Times New Roman"/>
          <w:color w:val="747474"/>
          <w:sz w:val="21"/>
          <w:szCs w:val="21"/>
        </w:rPr>
        <w:t>The sum a person pays to an insurance company on a regular (usually monthly or yearly) basis to receive health insurance.</w:t>
      </w:r>
    </w:p>
    <w:p w14:paraId="2489779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Privacy Rule: </w:t>
      </w:r>
      <w:r w:rsidRPr="009D15D8">
        <w:rPr>
          <w:rFonts w:ascii="Times New Roman" w:eastAsia="Times New Roman" w:hAnsi="Times New Roman" w:cs="Times New Roman"/>
          <w:color w:val="747474"/>
          <w:sz w:val="21"/>
          <w:szCs w:val="21"/>
        </w:rPr>
        <w:t>Standards for privacy regarding a patient’s medical history and all related events, treatments, and data as outlined by HIPAA.</w:t>
      </w:r>
    </w:p>
    <w:p w14:paraId="48BCAAE0"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Provider: </w:t>
      </w:r>
      <w:r w:rsidRPr="009D15D8">
        <w:rPr>
          <w:rFonts w:ascii="Times New Roman" w:eastAsia="Times New Roman" w:hAnsi="Times New Roman" w:cs="Times New Roman"/>
          <w:color w:val="747474"/>
          <w:sz w:val="21"/>
          <w:szCs w:val="21"/>
        </w:rPr>
        <w:t>A provider is the healthcare facility that administered healthcare to an individual. Physicians, clinics, and hospitals are all considered providers.</w:t>
      </w:r>
    </w:p>
    <w:p w14:paraId="08F42BDE"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Provider Transaction Access Number (PTAN): </w:t>
      </w:r>
      <w:r w:rsidRPr="009D15D8">
        <w:rPr>
          <w:rFonts w:ascii="Times New Roman" w:eastAsia="Times New Roman" w:hAnsi="Times New Roman" w:cs="Times New Roman"/>
          <w:color w:val="747474"/>
          <w:sz w:val="21"/>
          <w:szCs w:val="21"/>
        </w:rPr>
        <w:t>This refers to a provider’s current legacy provider number with Medicare.</w:t>
      </w:r>
    </w:p>
    <w:p w14:paraId="1A43AAFC" w14:textId="77777777" w:rsidR="00B63FA1" w:rsidRPr="00FD6EDC" w:rsidRDefault="00B63FA1" w:rsidP="00FD6EDC">
      <w:pPr>
        <w:rPr>
          <w:i/>
          <w:iCs/>
        </w:rPr>
      </w:pPr>
      <w:r w:rsidRPr="00FD6EDC">
        <w:rPr>
          <w:i/>
          <w:iCs/>
        </w:rPr>
        <w:t>R</w:t>
      </w:r>
    </w:p>
    <w:p w14:paraId="3103360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Referral: </w:t>
      </w:r>
      <w:r w:rsidRPr="009D15D8">
        <w:rPr>
          <w:rFonts w:ascii="Times New Roman" w:eastAsia="Times New Roman" w:hAnsi="Times New Roman" w:cs="Times New Roman"/>
          <w:color w:val="747474"/>
          <w:sz w:val="21"/>
          <w:szCs w:val="21"/>
        </w:rPr>
        <w:t>This is when a provider recommends another provider to a patient to receive specialized treatment.</w:t>
      </w:r>
    </w:p>
    <w:p w14:paraId="633C720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Remittance Advice (R/A): </w:t>
      </w:r>
      <w:r w:rsidRPr="009D15D8">
        <w:rPr>
          <w:rFonts w:ascii="Times New Roman" w:eastAsia="Times New Roman" w:hAnsi="Times New Roman" w:cs="Times New Roman"/>
          <w:color w:val="747474"/>
          <w:sz w:val="21"/>
          <w:szCs w:val="21"/>
        </w:rPr>
        <w:t>The R/A is also known as the EOB, which is the document attached to a processed claim that explains the information regarding coverage and payments on a claim.</w:t>
      </w:r>
    </w:p>
    <w:p w14:paraId="20EF34F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Responsible Party: </w:t>
      </w:r>
      <w:r w:rsidRPr="009D15D8">
        <w:rPr>
          <w:rFonts w:ascii="Times New Roman" w:eastAsia="Times New Roman" w:hAnsi="Times New Roman" w:cs="Times New Roman"/>
          <w:color w:val="747474"/>
          <w:sz w:val="21"/>
          <w:szCs w:val="21"/>
        </w:rPr>
        <w:t>The person who pays for a patient’s medical expenses, also known as the guarantor.</w:t>
      </w:r>
    </w:p>
    <w:p w14:paraId="13CF809C"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Revenue Code: </w:t>
      </w:r>
      <w:r w:rsidRPr="009D15D8">
        <w:rPr>
          <w:rFonts w:ascii="Times New Roman" w:eastAsia="Times New Roman" w:hAnsi="Times New Roman" w:cs="Times New Roman"/>
          <w:color w:val="747474"/>
          <w:sz w:val="21"/>
          <w:szCs w:val="21"/>
        </w:rPr>
        <w:t>A three-digit code used on medical bills that explains the kind of facility in which a patient received treatment.</w:t>
      </w:r>
    </w:p>
    <w:p w14:paraId="1A859FD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Relative Value Amount (RVA): </w:t>
      </w:r>
      <w:r w:rsidRPr="009D15D8">
        <w:rPr>
          <w:rFonts w:ascii="Times New Roman" w:eastAsia="Times New Roman" w:hAnsi="Times New Roman" w:cs="Times New Roman"/>
          <w:color w:val="747474"/>
          <w:sz w:val="21"/>
          <w:szCs w:val="21"/>
        </w:rPr>
        <w:t>The median amount Medicare will repay a provider for certain services and treatments.</w:t>
      </w:r>
    </w:p>
    <w:p w14:paraId="1351B34E" w14:textId="77777777" w:rsidR="00B63FA1" w:rsidRPr="00FD6EDC" w:rsidRDefault="00B63FA1" w:rsidP="00FD6EDC">
      <w:pPr>
        <w:rPr>
          <w:i/>
          <w:iCs/>
        </w:rPr>
      </w:pPr>
      <w:r w:rsidRPr="00FD6EDC">
        <w:rPr>
          <w:i/>
          <w:iCs/>
        </w:rPr>
        <w:lastRenderedPageBreak/>
        <w:t>S</w:t>
      </w:r>
    </w:p>
    <w:p w14:paraId="405873A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Scrubbing: </w:t>
      </w:r>
      <w:r w:rsidRPr="009D15D8">
        <w:rPr>
          <w:rFonts w:ascii="Times New Roman" w:eastAsia="Times New Roman" w:hAnsi="Times New Roman" w:cs="Times New Roman"/>
          <w:color w:val="747474"/>
          <w:sz w:val="21"/>
          <w:szCs w:val="21"/>
        </w:rPr>
        <w:t xml:space="preserve">A process by which insurance claims are checked for errors before being sent to an insurance company for final processing. Providers scrub claims </w:t>
      </w:r>
      <w:proofErr w:type="gramStart"/>
      <w:r w:rsidRPr="009D15D8">
        <w:rPr>
          <w:rFonts w:ascii="Times New Roman" w:eastAsia="Times New Roman" w:hAnsi="Times New Roman" w:cs="Times New Roman"/>
          <w:color w:val="747474"/>
          <w:sz w:val="21"/>
          <w:szCs w:val="21"/>
        </w:rPr>
        <w:t>in an attempt to</w:t>
      </w:r>
      <w:proofErr w:type="gramEnd"/>
      <w:r w:rsidRPr="009D15D8">
        <w:rPr>
          <w:rFonts w:ascii="Times New Roman" w:eastAsia="Times New Roman" w:hAnsi="Times New Roman" w:cs="Times New Roman"/>
          <w:color w:val="747474"/>
          <w:sz w:val="21"/>
          <w:szCs w:val="21"/>
        </w:rPr>
        <w:t xml:space="preserve"> reduce the number of denied or rejected claims.</w:t>
      </w:r>
    </w:p>
    <w:p w14:paraId="1C59AFF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Self-Referral: </w:t>
      </w:r>
      <w:r w:rsidRPr="009D15D8">
        <w:rPr>
          <w:rFonts w:ascii="Times New Roman" w:eastAsia="Times New Roman" w:hAnsi="Times New Roman" w:cs="Times New Roman"/>
          <w:color w:val="747474"/>
          <w:sz w:val="21"/>
          <w:szCs w:val="21"/>
        </w:rPr>
        <w:t>When a patient does their own research to find a provider and acts outside of their primary care physician’s referral.</w:t>
      </w:r>
    </w:p>
    <w:p w14:paraId="37C0C94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Self-Pay: </w:t>
      </w:r>
      <w:r w:rsidRPr="009D15D8">
        <w:rPr>
          <w:rFonts w:ascii="Times New Roman" w:eastAsia="Times New Roman" w:hAnsi="Times New Roman" w:cs="Times New Roman"/>
          <w:color w:val="747474"/>
          <w:sz w:val="21"/>
          <w:szCs w:val="21"/>
        </w:rPr>
        <w:t>Payment made by the patient for healthcare at the time they receive it at a provider’s facilities.</w:t>
      </w:r>
    </w:p>
    <w:p w14:paraId="79F6C99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Secondary Insurance Claim: </w:t>
      </w:r>
      <w:r w:rsidRPr="009D15D8">
        <w:rPr>
          <w:rFonts w:ascii="Times New Roman" w:eastAsia="Times New Roman" w:hAnsi="Times New Roman" w:cs="Times New Roman"/>
          <w:color w:val="747474"/>
          <w:sz w:val="21"/>
          <w:szCs w:val="21"/>
        </w:rPr>
        <w:t>The claim filed with the secondary insurance company after the primary insurance company pays for their portion of healthcare costs.</w:t>
      </w:r>
    </w:p>
    <w:p w14:paraId="0BA0780E"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Secondary Procedure: </w:t>
      </w:r>
      <w:r w:rsidRPr="009D15D8">
        <w:rPr>
          <w:rFonts w:ascii="Times New Roman" w:eastAsia="Times New Roman" w:hAnsi="Times New Roman" w:cs="Times New Roman"/>
          <w:color w:val="747474"/>
          <w:sz w:val="21"/>
          <w:szCs w:val="21"/>
        </w:rPr>
        <w:t>This is when provider performs another procedure on a patient covered by a CPT code after first performing a different CPT procedure on them.</w:t>
      </w:r>
    </w:p>
    <w:p w14:paraId="44E1E8A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Skilled Nursing Facility: </w:t>
      </w:r>
      <w:r w:rsidRPr="009D15D8">
        <w:rPr>
          <w:rFonts w:ascii="Times New Roman" w:eastAsia="Times New Roman" w:hAnsi="Times New Roman" w:cs="Times New Roman"/>
          <w:color w:val="747474"/>
          <w:sz w:val="21"/>
          <w:szCs w:val="21"/>
        </w:rPr>
        <w:t>These are facilities for the severely ill or elderly that provide specialized long-term care for recovering patients. Skilled nursing facilities are alternative healthcare establishments to extended hospital stays and may be covered by eligible patients’ insurance policies.</w:t>
      </w:r>
    </w:p>
    <w:p w14:paraId="29A73F49"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Signature on File (SOF): </w:t>
      </w:r>
      <w:r w:rsidRPr="009D15D8">
        <w:rPr>
          <w:rFonts w:ascii="Times New Roman" w:eastAsia="Times New Roman" w:hAnsi="Times New Roman" w:cs="Times New Roman"/>
          <w:color w:val="747474"/>
          <w:sz w:val="21"/>
          <w:szCs w:val="21"/>
        </w:rPr>
        <w:t>A patient’s official signature on file for the purpose of billing and claims processing.</w:t>
      </w:r>
    </w:p>
    <w:p w14:paraId="1033AD9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Software as a Service (SAAS): </w:t>
      </w:r>
      <w:r w:rsidRPr="009D15D8">
        <w:rPr>
          <w:rFonts w:ascii="Times New Roman" w:eastAsia="Times New Roman" w:hAnsi="Times New Roman" w:cs="Times New Roman"/>
          <w:color w:val="747474"/>
          <w:sz w:val="21"/>
          <w:szCs w:val="21"/>
        </w:rPr>
        <w:t xml:space="preserve">Medical billing software hosted off site by another company and only accessible with Internet access. SAAS is useful for providers who </w:t>
      </w:r>
      <w:proofErr w:type="gramStart"/>
      <w:r w:rsidRPr="009D15D8">
        <w:rPr>
          <w:rFonts w:ascii="Times New Roman" w:eastAsia="Times New Roman" w:hAnsi="Times New Roman" w:cs="Times New Roman"/>
          <w:color w:val="747474"/>
          <w:sz w:val="21"/>
          <w:szCs w:val="21"/>
        </w:rPr>
        <w:t>don’t</w:t>
      </w:r>
      <w:proofErr w:type="gramEnd"/>
      <w:r w:rsidRPr="009D15D8">
        <w:rPr>
          <w:rFonts w:ascii="Times New Roman" w:eastAsia="Times New Roman" w:hAnsi="Times New Roman" w:cs="Times New Roman"/>
          <w:color w:val="747474"/>
          <w:sz w:val="21"/>
          <w:szCs w:val="21"/>
        </w:rPr>
        <w:t xml:space="preserve"> want to maintain and update in-house medical billing software.</w:t>
      </w:r>
    </w:p>
    <w:p w14:paraId="299713B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Specialist: </w:t>
      </w:r>
      <w:r w:rsidRPr="009D15D8">
        <w:rPr>
          <w:rFonts w:ascii="Times New Roman" w:eastAsia="Times New Roman" w:hAnsi="Times New Roman" w:cs="Times New Roman"/>
          <w:color w:val="747474"/>
          <w:sz w:val="21"/>
          <w:szCs w:val="21"/>
        </w:rPr>
        <w:t>A physician or medical assistant with expertise in a specific area of medicine. Oncologists, pediatricians, and neurologists are among the many specialists in the medical field.</w:t>
      </w:r>
    </w:p>
    <w:p w14:paraId="23DBD3C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Subscriber: </w:t>
      </w:r>
      <w:r w:rsidRPr="009D15D8">
        <w:rPr>
          <w:rFonts w:ascii="Times New Roman" w:eastAsia="Times New Roman" w:hAnsi="Times New Roman" w:cs="Times New Roman"/>
          <w:color w:val="747474"/>
          <w:sz w:val="21"/>
          <w:szCs w:val="21"/>
        </w:rPr>
        <w:t>The subscriber is the individual covered under a group policy. For instance, an employee of a company with a group health policy would be one of many subscribers on that policy.</w:t>
      </w:r>
    </w:p>
    <w:p w14:paraId="32A760EA"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Supplemental Insurance: </w:t>
      </w:r>
      <w:r w:rsidRPr="009D15D8">
        <w:rPr>
          <w:rFonts w:ascii="Times New Roman" w:eastAsia="Times New Roman" w:hAnsi="Times New Roman" w:cs="Times New Roman"/>
          <w:color w:val="747474"/>
          <w:sz w:val="21"/>
          <w:szCs w:val="21"/>
        </w:rPr>
        <w:t>Supplemental insurance can be a secondary policy or another insurance company that covers a patient’s healthcare costs after receiving coverage from their primary insurance. Supplemental insurance policies typically help patients cover expensive deductibles and copays.</w:t>
      </w:r>
    </w:p>
    <w:p w14:paraId="5A3DCBE5" w14:textId="77777777" w:rsidR="00B63FA1" w:rsidRPr="00FD6EDC" w:rsidRDefault="00B63FA1" w:rsidP="00FD6EDC">
      <w:pPr>
        <w:rPr>
          <w:i/>
          <w:iCs/>
        </w:rPr>
      </w:pPr>
      <w:r w:rsidRPr="00FD6EDC">
        <w:rPr>
          <w:i/>
          <w:iCs/>
        </w:rPr>
        <w:t>T</w:t>
      </w:r>
    </w:p>
    <w:p w14:paraId="0FC3F6B2"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Treatment Authorization Request (TAR): </w:t>
      </w:r>
      <w:r w:rsidRPr="009D15D8">
        <w:rPr>
          <w:rFonts w:ascii="Times New Roman" w:eastAsia="Times New Roman" w:hAnsi="Times New Roman" w:cs="Times New Roman"/>
          <w:color w:val="747474"/>
          <w:sz w:val="21"/>
          <w:szCs w:val="21"/>
        </w:rPr>
        <w:t>A unique number the insurance company gives the provider for billing purposes. A provider must receive the insurance company’s TAR number before administering healthcare to a patient covered by the company.</w:t>
      </w:r>
    </w:p>
    <w:p w14:paraId="6BDBD0B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Taxonomy Code: </w:t>
      </w:r>
      <w:r w:rsidRPr="009D15D8">
        <w:rPr>
          <w:rFonts w:ascii="Times New Roman" w:eastAsia="Times New Roman" w:hAnsi="Times New Roman" w:cs="Times New Roman"/>
          <w:color w:val="747474"/>
          <w:sz w:val="21"/>
          <w:szCs w:val="21"/>
        </w:rPr>
        <w:t xml:space="preserve">Medical billing specialists utilize this unique </w:t>
      </w:r>
      <w:proofErr w:type="spellStart"/>
      <w:r w:rsidRPr="009D15D8">
        <w:rPr>
          <w:rFonts w:ascii="Times New Roman" w:eastAsia="Times New Roman" w:hAnsi="Times New Roman" w:cs="Times New Roman"/>
          <w:color w:val="747474"/>
          <w:sz w:val="21"/>
          <w:szCs w:val="21"/>
        </w:rPr>
        <w:t>codeset</w:t>
      </w:r>
      <w:proofErr w:type="spellEnd"/>
      <w:r w:rsidRPr="009D15D8">
        <w:rPr>
          <w:rFonts w:ascii="Times New Roman" w:eastAsia="Times New Roman" w:hAnsi="Times New Roman" w:cs="Times New Roman"/>
          <w:color w:val="747474"/>
          <w:sz w:val="21"/>
          <w:szCs w:val="21"/>
        </w:rPr>
        <w:t xml:space="preserve"> for identifying a healthcare provider’s specialty field.</w:t>
      </w:r>
    </w:p>
    <w:p w14:paraId="6AE31CA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Term Date: </w:t>
      </w:r>
      <w:r w:rsidRPr="009D15D8">
        <w:rPr>
          <w:rFonts w:ascii="Times New Roman" w:eastAsia="Times New Roman" w:hAnsi="Times New Roman" w:cs="Times New Roman"/>
          <w:color w:val="747474"/>
          <w:sz w:val="21"/>
          <w:szCs w:val="21"/>
        </w:rPr>
        <w:t>The end date for an insurance policy contract, or the date after which a person no longer receives or is no longer eligible for health insurance with company. Term dates are typically determined on a case-by-case basis.</w:t>
      </w:r>
    </w:p>
    <w:p w14:paraId="37A3846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Third Party Administrator (TPA): </w:t>
      </w:r>
      <w:r w:rsidRPr="009D15D8">
        <w:rPr>
          <w:rFonts w:ascii="Times New Roman" w:eastAsia="Times New Roman" w:hAnsi="Times New Roman" w:cs="Times New Roman"/>
          <w:color w:val="747474"/>
          <w:sz w:val="21"/>
          <w:szCs w:val="21"/>
        </w:rPr>
        <w:t>The name for the organization or individual that manages healthcare group benefits, claims, and administrative duties on behalf of a group plan or a company with a group plan.</w:t>
      </w:r>
    </w:p>
    <w:p w14:paraId="171B5D41"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Tax Identification Number (TIN): </w:t>
      </w:r>
      <w:r w:rsidRPr="009D15D8">
        <w:rPr>
          <w:rFonts w:ascii="Times New Roman" w:eastAsia="Times New Roman" w:hAnsi="Times New Roman" w:cs="Times New Roman"/>
          <w:color w:val="747474"/>
          <w:sz w:val="21"/>
          <w:szCs w:val="21"/>
        </w:rPr>
        <w:t xml:space="preserve">A unique number a patient or a company may have to produce for billing purposes </w:t>
      </w:r>
      <w:proofErr w:type="gramStart"/>
      <w:r w:rsidRPr="009D15D8">
        <w:rPr>
          <w:rFonts w:ascii="Times New Roman" w:eastAsia="Times New Roman" w:hAnsi="Times New Roman" w:cs="Times New Roman"/>
          <w:color w:val="747474"/>
          <w:sz w:val="21"/>
          <w:szCs w:val="21"/>
        </w:rPr>
        <w:t>in order to</w:t>
      </w:r>
      <w:proofErr w:type="gramEnd"/>
      <w:r w:rsidRPr="009D15D8">
        <w:rPr>
          <w:rFonts w:ascii="Times New Roman" w:eastAsia="Times New Roman" w:hAnsi="Times New Roman" w:cs="Times New Roman"/>
          <w:color w:val="747474"/>
          <w:sz w:val="21"/>
          <w:szCs w:val="21"/>
        </w:rPr>
        <w:t xml:space="preserve"> receive healthcare from a provider. The TIN is also known as the employment identification number (EIN).</w:t>
      </w:r>
    </w:p>
    <w:p w14:paraId="0421FF03"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Type of Service (TOS): </w:t>
      </w:r>
      <w:r w:rsidRPr="009D15D8">
        <w:rPr>
          <w:rFonts w:ascii="Times New Roman" w:eastAsia="Times New Roman" w:hAnsi="Times New Roman" w:cs="Times New Roman"/>
          <w:color w:val="747474"/>
          <w:sz w:val="21"/>
          <w:szCs w:val="21"/>
        </w:rPr>
        <w:t>A field on a claim for describing what kind of healthcare services or procedures a provider administered.</w:t>
      </w:r>
    </w:p>
    <w:p w14:paraId="7ABE1A23" w14:textId="77777777" w:rsidR="00B63FA1" w:rsidRPr="00FD6EDC" w:rsidRDefault="00B63FA1" w:rsidP="00FD6EDC">
      <w:pPr>
        <w:rPr>
          <w:i/>
          <w:iCs/>
        </w:rPr>
      </w:pPr>
      <w:r w:rsidRPr="00FD6EDC">
        <w:rPr>
          <w:i/>
          <w:iCs/>
        </w:rPr>
        <w:t>U</w:t>
      </w:r>
    </w:p>
    <w:p w14:paraId="69FDBC27"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UB04: </w:t>
      </w:r>
      <w:r w:rsidRPr="009D15D8">
        <w:rPr>
          <w:rFonts w:ascii="Times New Roman" w:eastAsia="Times New Roman" w:hAnsi="Times New Roman" w:cs="Times New Roman"/>
          <w:color w:val="747474"/>
          <w:sz w:val="21"/>
          <w:szCs w:val="21"/>
        </w:rPr>
        <w:t xml:space="preserve">A form used by providers for filing claims with insurance companies. The UB04 form has a format </w:t>
      </w:r>
      <w:proofErr w:type="gramStart"/>
      <w:r w:rsidRPr="009D15D8">
        <w:rPr>
          <w:rFonts w:ascii="Times New Roman" w:eastAsia="Times New Roman" w:hAnsi="Times New Roman" w:cs="Times New Roman"/>
          <w:color w:val="747474"/>
          <w:sz w:val="21"/>
          <w:szCs w:val="21"/>
        </w:rPr>
        <w:t>similar to</w:t>
      </w:r>
      <w:proofErr w:type="gramEnd"/>
      <w:r w:rsidRPr="009D15D8">
        <w:rPr>
          <w:rFonts w:ascii="Times New Roman" w:eastAsia="Times New Roman" w:hAnsi="Times New Roman" w:cs="Times New Roman"/>
          <w:color w:val="747474"/>
          <w:sz w:val="21"/>
          <w:szCs w:val="21"/>
        </w:rPr>
        <w:t xml:space="preserve"> that of the CMS 1500 form.</w:t>
      </w:r>
    </w:p>
    <w:p w14:paraId="462825B8"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Unbundling: </w:t>
      </w:r>
      <w:r w:rsidRPr="009D15D8">
        <w:rPr>
          <w:rFonts w:ascii="Times New Roman" w:eastAsia="Times New Roman" w:hAnsi="Times New Roman" w:cs="Times New Roman"/>
          <w:color w:val="747474"/>
          <w:sz w:val="21"/>
          <w:szCs w:val="21"/>
        </w:rPr>
        <w:t>This term refers to the fraudulent practice of ascribing more than one code to a service or procedure on a superbill or claim form when only one is necessary.</w:t>
      </w:r>
    </w:p>
    <w:p w14:paraId="0D3BDFDC"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Untimely Submission: </w:t>
      </w:r>
      <w:r w:rsidRPr="009D15D8">
        <w:rPr>
          <w:rFonts w:ascii="Times New Roman" w:eastAsia="Times New Roman" w:hAnsi="Times New Roman" w:cs="Times New Roman"/>
          <w:color w:val="747474"/>
          <w:sz w:val="21"/>
          <w:szCs w:val="21"/>
        </w:rPr>
        <w:t>Claims have a specific timeframe in which they can be sent off to an insurance company for processing. If a provider fails to file a claim with an insurance company in that timeframe, it is marked for untimely submission and will be denied by the company.</w:t>
      </w:r>
    </w:p>
    <w:p w14:paraId="4D07B07F" w14:textId="7D5936B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Upcoding: </w:t>
      </w:r>
      <w:r w:rsidRPr="009D15D8">
        <w:rPr>
          <w:rFonts w:ascii="Times New Roman" w:eastAsia="Times New Roman" w:hAnsi="Times New Roman" w:cs="Times New Roman"/>
          <w:color w:val="747474"/>
          <w:sz w:val="21"/>
          <w:szCs w:val="21"/>
        </w:rPr>
        <w:t>Upcoding is the fraudulent practice of ascribing a higher ICD-</w:t>
      </w:r>
      <w:r w:rsidR="009D15D8">
        <w:rPr>
          <w:rFonts w:ascii="Times New Roman" w:eastAsia="Times New Roman" w:hAnsi="Times New Roman" w:cs="Times New Roman"/>
          <w:color w:val="747474"/>
          <w:sz w:val="21"/>
          <w:szCs w:val="21"/>
        </w:rPr>
        <w:t>10</w:t>
      </w:r>
      <w:r w:rsidRPr="009D15D8">
        <w:rPr>
          <w:rFonts w:ascii="Times New Roman" w:eastAsia="Times New Roman" w:hAnsi="Times New Roman" w:cs="Times New Roman"/>
          <w:color w:val="747474"/>
          <w:sz w:val="21"/>
          <w:szCs w:val="21"/>
        </w:rPr>
        <w:t xml:space="preserve"> code to a healthcare procedure </w:t>
      </w:r>
      <w:proofErr w:type="gramStart"/>
      <w:r w:rsidRPr="009D15D8">
        <w:rPr>
          <w:rFonts w:ascii="Times New Roman" w:eastAsia="Times New Roman" w:hAnsi="Times New Roman" w:cs="Times New Roman"/>
          <w:color w:val="747474"/>
          <w:sz w:val="21"/>
          <w:szCs w:val="21"/>
        </w:rPr>
        <w:t>in an attempt to</w:t>
      </w:r>
      <w:proofErr w:type="gramEnd"/>
      <w:r w:rsidRPr="009D15D8">
        <w:rPr>
          <w:rFonts w:ascii="Times New Roman" w:eastAsia="Times New Roman" w:hAnsi="Times New Roman" w:cs="Times New Roman"/>
          <w:color w:val="747474"/>
          <w:sz w:val="21"/>
          <w:szCs w:val="21"/>
        </w:rPr>
        <w:t xml:space="preserve"> get more money than necessary from the insurance company or patient.</w:t>
      </w:r>
    </w:p>
    <w:p w14:paraId="3B0ACD1B"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Unique Physician Identification Number (UPIN): </w:t>
      </w:r>
      <w:r w:rsidRPr="009D15D8">
        <w:rPr>
          <w:rFonts w:ascii="Times New Roman" w:eastAsia="Times New Roman" w:hAnsi="Times New Roman" w:cs="Times New Roman"/>
          <w:color w:val="747474"/>
          <w:sz w:val="21"/>
          <w:szCs w:val="21"/>
        </w:rPr>
        <w:t>A unique six-digit identification number given to physicians and other healthcare personnel, which has subsequently been replaced by a national provider identifier (NPI) number.</w:t>
      </w:r>
    </w:p>
    <w:p w14:paraId="286B5DE6"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lastRenderedPageBreak/>
        <w:t>Usual Customary and Reasonable (UCR): </w:t>
      </w:r>
      <w:r w:rsidRPr="009D15D8">
        <w:rPr>
          <w:rFonts w:ascii="Times New Roman" w:eastAsia="Times New Roman" w:hAnsi="Times New Roman" w:cs="Times New Roman"/>
          <w:color w:val="747474"/>
          <w:sz w:val="21"/>
          <w:szCs w:val="21"/>
        </w:rPr>
        <w:t>The UCR is the amount of money stipulated in a contract that an insurance company agrees to pay for healthcare costs. After passing the UCR a patient is typically responsible for covering their healthcare costs.</w:t>
      </w:r>
    </w:p>
    <w:p w14:paraId="39FE1945"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Utilization Limit: </w:t>
      </w:r>
      <w:r w:rsidRPr="009D15D8">
        <w:rPr>
          <w:rFonts w:ascii="Times New Roman" w:eastAsia="Times New Roman" w:hAnsi="Times New Roman" w:cs="Times New Roman"/>
          <w:color w:val="747474"/>
          <w:sz w:val="21"/>
          <w:szCs w:val="21"/>
        </w:rPr>
        <w:t>The limit per year for coverage under certain available healthcare services for Medicare enrollees. Once a patient passes the utilization limit for a service, Medicare may no longer cover them.</w:t>
      </w:r>
    </w:p>
    <w:p w14:paraId="641C484D"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Utilization Review (UR): </w:t>
      </w:r>
      <w:r w:rsidRPr="009D15D8">
        <w:rPr>
          <w:rFonts w:ascii="Times New Roman" w:eastAsia="Times New Roman" w:hAnsi="Times New Roman" w:cs="Times New Roman"/>
          <w:color w:val="747474"/>
          <w:sz w:val="21"/>
          <w:szCs w:val="21"/>
        </w:rPr>
        <w:t>An investigation or audit performed to optimize the number of inpatient and outpatient services a provider performs.</w:t>
      </w:r>
    </w:p>
    <w:p w14:paraId="4919DF9F" w14:textId="77777777" w:rsidR="00B63FA1" w:rsidRPr="00FD6EDC" w:rsidRDefault="00B63FA1" w:rsidP="00FD6EDC">
      <w:pPr>
        <w:rPr>
          <w:i/>
          <w:iCs/>
        </w:rPr>
      </w:pPr>
      <w:r w:rsidRPr="00FD6EDC">
        <w:rPr>
          <w:i/>
          <w:iCs/>
        </w:rPr>
        <w:t>W</w:t>
      </w:r>
    </w:p>
    <w:p w14:paraId="475769CB" w14:textId="77777777" w:rsidR="00B63FA1" w:rsidRPr="009D15D8" w:rsidRDefault="00B63FA1" w:rsidP="00B63FA1">
      <w:pPr>
        <w:shd w:val="clear" w:color="auto" w:fill="FFFFFF"/>
        <w:spacing w:after="300" w:line="330" w:lineRule="atLeast"/>
        <w:jc w:val="both"/>
        <w:rPr>
          <w:rFonts w:ascii="Times New Roman" w:eastAsia="Times New Roman" w:hAnsi="Times New Roman" w:cs="Times New Roman"/>
          <w:color w:val="747474"/>
          <w:sz w:val="21"/>
          <w:szCs w:val="21"/>
        </w:rPr>
      </w:pPr>
      <w:r w:rsidRPr="009D15D8">
        <w:rPr>
          <w:rFonts w:ascii="Times New Roman" w:eastAsia="Times New Roman" w:hAnsi="Times New Roman" w:cs="Times New Roman"/>
          <w:b/>
          <w:bCs/>
          <w:color w:val="747474"/>
          <w:sz w:val="21"/>
          <w:szCs w:val="21"/>
        </w:rPr>
        <w:t>Write-Off: </w:t>
      </w:r>
      <w:r w:rsidRPr="009D15D8">
        <w:rPr>
          <w:rFonts w:ascii="Times New Roman" w:eastAsia="Times New Roman" w:hAnsi="Times New Roman" w:cs="Times New Roman"/>
          <w:color w:val="747474"/>
          <w:sz w:val="21"/>
          <w:szCs w:val="21"/>
        </w:rPr>
        <w:t>This term refers to the discrepancy between a provider’s fee for healthcare services and the amount that an insurance company is willing to pay for those services that a patient is not responsible for. The write-off amount may be categorized as “not covered” amounts for billing purposes.</w:t>
      </w:r>
    </w:p>
    <w:p w14:paraId="7F8260D8" w14:textId="77777777" w:rsidR="00B63FA1" w:rsidRDefault="00B63FA1" w:rsidP="00B63FA1"/>
    <w:p w14:paraId="3E62B7DF" w14:textId="30C522C7" w:rsidR="0052593B" w:rsidRDefault="0052593B" w:rsidP="007946F7"/>
    <w:p w14:paraId="15D40BD4" w14:textId="77777777" w:rsidR="00DE5FC1" w:rsidRPr="00DF63B9" w:rsidRDefault="00DE5FC1" w:rsidP="007946F7"/>
    <w:sectPr w:rsidR="00DE5FC1" w:rsidRPr="00DF63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FA51B" w14:textId="77777777" w:rsidR="001F5C92" w:rsidRDefault="001F5C92" w:rsidP="00E64D1F">
      <w:pPr>
        <w:spacing w:after="0" w:line="240" w:lineRule="auto"/>
      </w:pPr>
      <w:r>
        <w:separator/>
      </w:r>
    </w:p>
  </w:endnote>
  <w:endnote w:type="continuationSeparator" w:id="0">
    <w:p w14:paraId="3781794A" w14:textId="77777777" w:rsidR="001F5C92" w:rsidRDefault="001F5C92" w:rsidP="00E64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23298"/>
      <w:docPartObj>
        <w:docPartGallery w:val="Page Numbers (Bottom of Page)"/>
        <w:docPartUnique/>
      </w:docPartObj>
    </w:sdtPr>
    <w:sdtEndPr/>
    <w:sdtContent>
      <w:p w14:paraId="0723B16F" w14:textId="4C40A7A8" w:rsidR="008A746B" w:rsidRDefault="001F5C92">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314473"/>
      <w:docPartObj>
        <w:docPartGallery w:val="Page Numbers (Bottom of Page)"/>
        <w:docPartUnique/>
      </w:docPartObj>
    </w:sdtPr>
    <w:sdtEndPr/>
    <w:sdtContent>
      <w:p w14:paraId="06FCE3C4" w14:textId="77777777" w:rsidR="0092688B" w:rsidRDefault="0092688B">
        <w:pPr>
          <w:pStyle w:val="Footer"/>
        </w:pPr>
        <w:r>
          <w:rPr>
            <w:noProof/>
          </w:rPr>
          <mc:AlternateContent>
            <mc:Choice Requires="wps">
              <w:drawing>
                <wp:anchor distT="0" distB="0" distL="114300" distR="114300" simplePos="0" relativeHeight="251661312" behindDoc="0" locked="0" layoutInCell="1" allowOverlap="1" wp14:anchorId="2EBA8615" wp14:editId="44B6B017">
                  <wp:simplePos x="0" y="0"/>
                  <wp:positionH relativeFrom="rightMargin">
                    <wp:align>center</wp:align>
                  </wp:positionH>
                  <wp:positionV relativeFrom="bottomMargin">
                    <wp:align>center</wp:align>
                  </wp:positionV>
                  <wp:extent cx="565785" cy="19177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5D475B6" w14:textId="77777777" w:rsidR="0092688B" w:rsidRPr="000E39DA" w:rsidRDefault="0092688B">
                              <w:pPr>
                                <w:pBdr>
                                  <w:top w:val="single" w:sz="4" w:space="1" w:color="7F7F7F" w:themeColor="background1" w:themeShade="7F"/>
                                </w:pBdr>
                                <w:jc w:val="center"/>
                              </w:pPr>
                              <w:r w:rsidRPr="000E39DA">
                                <w:fldChar w:fldCharType="begin"/>
                              </w:r>
                              <w:r w:rsidRPr="000E39DA">
                                <w:instrText xml:space="preserve"> PAGE   \* MERGEFORMAT </w:instrText>
                              </w:r>
                              <w:r w:rsidRPr="000E39DA">
                                <w:fldChar w:fldCharType="separate"/>
                              </w:r>
                              <w:r w:rsidRPr="000E39DA">
                                <w:rPr>
                                  <w:noProof/>
                                </w:rPr>
                                <w:t>2</w:t>
                              </w:r>
                              <w:r w:rsidRPr="000E39DA">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EBA8615" id="Rectangle 17" o:spid="_x0000_s1034"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" filled="f" fillcolor="#c0504d" stroked="f" strokecolor="#5c83b4" strokeweight="2.25pt">
                  <v:textbox inset=",0,,0">
                    <w:txbxContent>
                      <w:p w14:paraId="65D475B6" w14:textId="77777777" w:rsidR="0092688B" w:rsidRPr="000E39DA" w:rsidRDefault="0092688B">
                        <w:pPr>
                          <w:pBdr>
                            <w:top w:val="single" w:sz="4" w:space="1" w:color="7F7F7F" w:themeColor="background1" w:themeShade="7F"/>
                          </w:pBdr>
                          <w:jc w:val="center"/>
                        </w:pPr>
                        <w:r w:rsidRPr="000E39DA">
                          <w:fldChar w:fldCharType="begin"/>
                        </w:r>
                        <w:r w:rsidRPr="000E39DA">
                          <w:instrText xml:space="preserve"> PAGE   \* MERGEFORMAT </w:instrText>
                        </w:r>
                        <w:r w:rsidRPr="000E39DA">
                          <w:fldChar w:fldCharType="separate"/>
                        </w:r>
                        <w:r w:rsidRPr="000E39DA">
                          <w:rPr>
                            <w:noProof/>
                          </w:rPr>
                          <w:t>2</w:t>
                        </w:r>
                        <w:r w:rsidRPr="000E39DA">
                          <w:rPr>
                            <w:noProo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6B55" w14:textId="77777777" w:rsidR="001F5C92" w:rsidRDefault="001F5C92" w:rsidP="00E64D1F">
      <w:pPr>
        <w:spacing w:after="0" w:line="240" w:lineRule="auto"/>
      </w:pPr>
      <w:r>
        <w:separator/>
      </w:r>
    </w:p>
  </w:footnote>
  <w:footnote w:type="continuationSeparator" w:id="0">
    <w:p w14:paraId="0DB69ADC" w14:textId="77777777" w:rsidR="001F5C92" w:rsidRDefault="001F5C92" w:rsidP="00E64D1F">
      <w:pPr>
        <w:spacing w:after="0" w:line="240" w:lineRule="auto"/>
      </w:pPr>
      <w:r>
        <w:continuationSeparator/>
      </w:r>
    </w:p>
  </w:footnote>
  <w:footnote w:id="1">
    <w:p w14:paraId="2DB574CC" w14:textId="3194E907" w:rsidR="000D42F6" w:rsidRDefault="000D42F6" w:rsidP="001B6050">
      <w:pPr>
        <w:pStyle w:val="FootnoteText"/>
        <w:jc w:val="both"/>
      </w:pPr>
      <w:r>
        <w:rPr>
          <w:rStyle w:val="FootnoteReference"/>
        </w:rPr>
        <w:footnoteRef/>
      </w:r>
      <w:r>
        <w:t xml:space="preserve"> </w:t>
      </w:r>
      <w:r w:rsidR="00586551">
        <w:t xml:space="preserve">Some patients may be covered by their own (employer-based) coverage but may also have secondary coverage through a spouse or other source.  </w:t>
      </w:r>
      <w:r w:rsidR="00CD451F">
        <w:t>It is up to the provider’s staff to request the information, but too often is neglected or forgotten.</w:t>
      </w:r>
    </w:p>
  </w:footnote>
  <w:footnote w:id="2">
    <w:p w14:paraId="53310CF3" w14:textId="0D57E351" w:rsidR="00813A81" w:rsidRDefault="00813A81">
      <w:pPr>
        <w:pStyle w:val="FootnoteText"/>
      </w:pPr>
      <w:r>
        <w:rPr>
          <w:rStyle w:val="FootnoteReference"/>
        </w:rPr>
        <w:footnoteRef/>
      </w:r>
      <w:r>
        <w:t xml:space="preserve"> </w:t>
      </w:r>
      <w:r w:rsidR="0081137C">
        <w:t>“High Level of Waste in Health Spending, Says Medicare and Medicaid Boss,” Medical News Today, Dec. 5, 2011, http:</w:t>
      </w:r>
      <w:r w:rsidR="00C246B6">
        <w:t>//www.medicalnewstoday.com/articles/238654.php.</w:t>
      </w:r>
    </w:p>
  </w:footnote>
  <w:footnote w:id="3">
    <w:p w14:paraId="28FC6D85" w14:textId="48553355" w:rsidR="00E64D1F" w:rsidRDefault="00E64D1F">
      <w:pPr>
        <w:pStyle w:val="FootnoteText"/>
      </w:pPr>
      <w:r>
        <w:rPr>
          <w:rStyle w:val="FootnoteReference"/>
        </w:rPr>
        <w:footnoteRef/>
      </w:r>
      <w:r>
        <w:t xml:space="preserve"> </w:t>
      </w:r>
      <w:hyperlink r:id="rId1" w:history="1">
        <w:r w:rsidR="005B1333">
          <w:rPr>
            <w:rStyle w:val="Hyperlink"/>
          </w:rPr>
          <w:t>https://www.cms.gov/newsroom/press-releases/trump-administration-announces-historic-price-transparency-requirements-increase-competition-and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F6"/>
    <w:multiLevelType w:val="hybridMultilevel"/>
    <w:tmpl w:val="06B22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03427"/>
    <w:multiLevelType w:val="hybridMultilevel"/>
    <w:tmpl w:val="100CFE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CE81AF1"/>
    <w:multiLevelType w:val="multilevel"/>
    <w:tmpl w:val="7472D5C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2449404D"/>
    <w:multiLevelType w:val="hybridMultilevel"/>
    <w:tmpl w:val="F882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278FF"/>
    <w:multiLevelType w:val="hybridMultilevel"/>
    <w:tmpl w:val="8AF6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F2BCB"/>
    <w:multiLevelType w:val="hybridMultilevel"/>
    <w:tmpl w:val="786AE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51B11"/>
    <w:multiLevelType w:val="hybridMultilevel"/>
    <w:tmpl w:val="3218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9C462F"/>
    <w:multiLevelType w:val="hybridMultilevel"/>
    <w:tmpl w:val="9078AE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127982"/>
    <w:multiLevelType w:val="hybridMultilevel"/>
    <w:tmpl w:val="A954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728C2"/>
    <w:multiLevelType w:val="hybridMultilevel"/>
    <w:tmpl w:val="971C7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5"/>
  </w:num>
  <w:num w:numId="5">
    <w:abstractNumId w:val="4"/>
  </w:num>
  <w:num w:numId="6">
    <w:abstractNumId w:val="9"/>
  </w:num>
  <w:num w:numId="7">
    <w:abstractNumId w:val="3"/>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6A"/>
    <w:rsid w:val="00006598"/>
    <w:rsid w:val="00013966"/>
    <w:rsid w:val="00024C24"/>
    <w:rsid w:val="0003492A"/>
    <w:rsid w:val="00042E4B"/>
    <w:rsid w:val="0004615B"/>
    <w:rsid w:val="00047556"/>
    <w:rsid w:val="000522D1"/>
    <w:rsid w:val="000573D3"/>
    <w:rsid w:val="000602DA"/>
    <w:rsid w:val="000626BE"/>
    <w:rsid w:val="00070E5D"/>
    <w:rsid w:val="0007451E"/>
    <w:rsid w:val="00080369"/>
    <w:rsid w:val="00080C64"/>
    <w:rsid w:val="00083F3C"/>
    <w:rsid w:val="00085A57"/>
    <w:rsid w:val="00090021"/>
    <w:rsid w:val="00091F69"/>
    <w:rsid w:val="00093C82"/>
    <w:rsid w:val="000962DB"/>
    <w:rsid w:val="000973FA"/>
    <w:rsid w:val="000975E3"/>
    <w:rsid w:val="000A5090"/>
    <w:rsid w:val="000A5559"/>
    <w:rsid w:val="000B2BBC"/>
    <w:rsid w:val="000B4F4C"/>
    <w:rsid w:val="000D0A71"/>
    <w:rsid w:val="000D39E0"/>
    <w:rsid w:val="000D41F4"/>
    <w:rsid w:val="000D42F6"/>
    <w:rsid w:val="000D6E31"/>
    <w:rsid w:val="000E39DA"/>
    <w:rsid w:val="000E7163"/>
    <w:rsid w:val="000F1B5E"/>
    <w:rsid w:val="000F4899"/>
    <w:rsid w:val="000F519C"/>
    <w:rsid w:val="000F76B6"/>
    <w:rsid w:val="00100681"/>
    <w:rsid w:val="00102DF8"/>
    <w:rsid w:val="00105E22"/>
    <w:rsid w:val="001101E4"/>
    <w:rsid w:val="00115CAC"/>
    <w:rsid w:val="001203EB"/>
    <w:rsid w:val="00121AC0"/>
    <w:rsid w:val="0012272F"/>
    <w:rsid w:val="001267AB"/>
    <w:rsid w:val="001269D2"/>
    <w:rsid w:val="00132A77"/>
    <w:rsid w:val="00137EB1"/>
    <w:rsid w:val="00143ADF"/>
    <w:rsid w:val="001448A4"/>
    <w:rsid w:val="0015266E"/>
    <w:rsid w:val="001562B5"/>
    <w:rsid w:val="00156964"/>
    <w:rsid w:val="00156CCC"/>
    <w:rsid w:val="00161EA2"/>
    <w:rsid w:val="00164D39"/>
    <w:rsid w:val="00165093"/>
    <w:rsid w:val="001724F4"/>
    <w:rsid w:val="00174A56"/>
    <w:rsid w:val="00175B07"/>
    <w:rsid w:val="0017727D"/>
    <w:rsid w:val="0018005C"/>
    <w:rsid w:val="001803CA"/>
    <w:rsid w:val="001822C3"/>
    <w:rsid w:val="0019174E"/>
    <w:rsid w:val="00194851"/>
    <w:rsid w:val="001A27A3"/>
    <w:rsid w:val="001A43F7"/>
    <w:rsid w:val="001A5426"/>
    <w:rsid w:val="001A5B71"/>
    <w:rsid w:val="001B1CB5"/>
    <w:rsid w:val="001B3816"/>
    <w:rsid w:val="001B5AEE"/>
    <w:rsid w:val="001B6050"/>
    <w:rsid w:val="001B73F3"/>
    <w:rsid w:val="001B7677"/>
    <w:rsid w:val="001C20B9"/>
    <w:rsid w:val="001C493F"/>
    <w:rsid w:val="001C609F"/>
    <w:rsid w:val="001C7B48"/>
    <w:rsid w:val="001D1D7C"/>
    <w:rsid w:val="001D2A59"/>
    <w:rsid w:val="001D3F3E"/>
    <w:rsid w:val="001D5720"/>
    <w:rsid w:val="001D7F9C"/>
    <w:rsid w:val="001E2FE2"/>
    <w:rsid w:val="001E348D"/>
    <w:rsid w:val="001E46ED"/>
    <w:rsid w:val="001F2979"/>
    <w:rsid w:val="001F4E0A"/>
    <w:rsid w:val="001F5304"/>
    <w:rsid w:val="001F5C92"/>
    <w:rsid w:val="001F681F"/>
    <w:rsid w:val="00203E1F"/>
    <w:rsid w:val="00204468"/>
    <w:rsid w:val="00206AC6"/>
    <w:rsid w:val="00211D8D"/>
    <w:rsid w:val="00214743"/>
    <w:rsid w:val="00214CF7"/>
    <w:rsid w:val="00214D32"/>
    <w:rsid w:val="00214E4B"/>
    <w:rsid w:val="002238FC"/>
    <w:rsid w:val="002239DD"/>
    <w:rsid w:val="00224630"/>
    <w:rsid w:val="00231524"/>
    <w:rsid w:val="002333A9"/>
    <w:rsid w:val="00233D5C"/>
    <w:rsid w:val="00240FED"/>
    <w:rsid w:val="002432F3"/>
    <w:rsid w:val="002449AC"/>
    <w:rsid w:val="00251487"/>
    <w:rsid w:val="00251FDF"/>
    <w:rsid w:val="00253D7D"/>
    <w:rsid w:val="002549E9"/>
    <w:rsid w:val="002606EC"/>
    <w:rsid w:val="00270E84"/>
    <w:rsid w:val="002713E6"/>
    <w:rsid w:val="00291F0E"/>
    <w:rsid w:val="0029474B"/>
    <w:rsid w:val="002A04A1"/>
    <w:rsid w:val="002A3C43"/>
    <w:rsid w:val="002A7846"/>
    <w:rsid w:val="002B1B0E"/>
    <w:rsid w:val="002B29E6"/>
    <w:rsid w:val="002B3AF1"/>
    <w:rsid w:val="002B4DA1"/>
    <w:rsid w:val="002B6D01"/>
    <w:rsid w:val="002C017D"/>
    <w:rsid w:val="002C308A"/>
    <w:rsid w:val="002D0593"/>
    <w:rsid w:val="002D2180"/>
    <w:rsid w:val="002D2D87"/>
    <w:rsid w:val="002D3B20"/>
    <w:rsid w:val="002E0694"/>
    <w:rsid w:val="002E7264"/>
    <w:rsid w:val="002F1209"/>
    <w:rsid w:val="002F376A"/>
    <w:rsid w:val="002F3B06"/>
    <w:rsid w:val="002F44A3"/>
    <w:rsid w:val="003021FD"/>
    <w:rsid w:val="00304453"/>
    <w:rsid w:val="003077DF"/>
    <w:rsid w:val="0031311B"/>
    <w:rsid w:val="003153B4"/>
    <w:rsid w:val="00315510"/>
    <w:rsid w:val="00320E32"/>
    <w:rsid w:val="00321954"/>
    <w:rsid w:val="00323272"/>
    <w:rsid w:val="003308B7"/>
    <w:rsid w:val="00335FC3"/>
    <w:rsid w:val="00336109"/>
    <w:rsid w:val="003375C5"/>
    <w:rsid w:val="00337FC0"/>
    <w:rsid w:val="00340682"/>
    <w:rsid w:val="003502D2"/>
    <w:rsid w:val="003523BA"/>
    <w:rsid w:val="003525A6"/>
    <w:rsid w:val="0035295A"/>
    <w:rsid w:val="003541D2"/>
    <w:rsid w:val="00360736"/>
    <w:rsid w:val="003642D1"/>
    <w:rsid w:val="003669DC"/>
    <w:rsid w:val="00370AED"/>
    <w:rsid w:val="0037341E"/>
    <w:rsid w:val="003824B8"/>
    <w:rsid w:val="00391B21"/>
    <w:rsid w:val="00393E84"/>
    <w:rsid w:val="00395A07"/>
    <w:rsid w:val="003A0484"/>
    <w:rsid w:val="003A0E7D"/>
    <w:rsid w:val="003A1A2B"/>
    <w:rsid w:val="003A2245"/>
    <w:rsid w:val="003A2D69"/>
    <w:rsid w:val="003A455C"/>
    <w:rsid w:val="003A6354"/>
    <w:rsid w:val="003A7819"/>
    <w:rsid w:val="003B029C"/>
    <w:rsid w:val="003B5335"/>
    <w:rsid w:val="003B68EF"/>
    <w:rsid w:val="003C1337"/>
    <w:rsid w:val="003C6250"/>
    <w:rsid w:val="003D1826"/>
    <w:rsid w:val="003D23C6"/>
    <w:rsid w:val="003D2F74"/>
    <w:rsid w:val="003D3513"/>
    <w:rsid w:val="003D5966"/>
    <w:rsid w:val="003D6F49"/>
    <w:rsid w:val="003E03D0"/>
    <w:rsid w:val="003E2D11"/>
    <w:rsid w:val="003E4305"/>
    <w:rsid w:val="003E73AE"/>
    <w:rsid w:val="003F1F6F"/>
    <w:rsid w:val="003F2757"/>
    <w:rsid w:val="003F3268"/>
    <w:rsid w:val="003F4453"/>
    <w:rsid w:val="00401069"/>
    <w:rsid w:val="00401DBF"/>
    <w:rsid w:val="00404610"/>
    <w:rsid w:val="0040683D"/>
    <w:rsid w:val="00415664"/>
    <w:rsid w:val="00415F50"/>
    <w:rsid w:val="004173B9"/>
    <w:rsid w:val="00422B03"/>
    <w:rsid w:val="004241AC"/>
    <w:rsid w:val="004247B5"/>
    <w:rsid w:val="00424C42"/>
    <w:rsid w:val="00425E49"/>
    <w:rsid w:val="00433522"/>
    <w:rsid w:val="004342FD"/>
    <w:rsid w:val="00442CFB"/>
    <w:rsid w:val="0044540E"/>
    <w:rsid w:val="004466E1"/>
    <w:rsid w:val="00446B83"/>
    <w:rsid w:val="004527CD"/>
    <w:rsid w:val="0045296F"/>
    <w:rsid w:val="00454149"/>
    <w:rsid w:val="00460E52"/>
    <w:rsid w:val="0046575C"/>
    <w:rsid w:val="00466EA5"/>
    <w:rsid w:val="004706F2"/>
    <w:rsid w:val="00476B79"/>
    <w:rsid w:val="00481F4E"/>
    <w:rsid w:val="00487FA5"/>
    <w:rsid w:val="0049531E"/>
    <w:rsid w:val="00495ADC"/>
    <w:rsid w:val="00497DE4"/>
    <w:rsid w:val="004A24CA"/>
    <w:rsid w:val="004A2D95"/>
    <w:rsid w:val="004A3889"/>
    <w:rsid w:val="004A513D"/>
    <w:rsid w:val="004A52CA"/>
    <w:rsid w:val="004B162C"/>
    <w:rsid w:val="004B3EBD"/>
    <w:rsid w:val="004B4609"/>
    <w:rsid w:val="004B5922"/>
    <w:rsid w:val="004B7494"/>
    <w:rsid w:val="004C0980"/>
    <w:rsid w:val="004C379B"/>
    <w:rsid w:val="004C4E95"/>
    <w:rsid w:val="004D01AC"/>
    <w:rsid w:val="004D277C"/>
    <w:rsid w:val="004D2A0A"/>
    <w:rsid w:val="004D3064"/>
    <w:rsid w:val="004D515E"/>
    <w:rsid w:val="004D59E2"/>
    <w:rsid w:val="004E30BC"/>
    <w:rsid w:val="004E51D7"/>
    <w:rsid w:val="004F0C14"/>
    <w:rsid w:val="004F5876"/>
    <w:rsid w:val="004F7E73"/>
    <w:rsid w:val="00500E1B"/>
    <w:rsid w:val="00503C57"/>
    <w:rsid w:val="005050B7"/>
    <w:rsid w:val="00506763"/>
    <w:rsid w:val="00512407"/>
    <w:rsid w:val="00512EA5"/>
    <w:rsid w:val="00516B13"/>
    <w:rsid w:val="00516B41"/>
    <w:rsid w:val="005172B1"/>
    <w:rsid w:val="005175A2"/>
    <w:rsid w:val="0052593B"/>
    <w:rsid w:val="00525981"/>
    <w:rsid w:val="005313DB"/>
    <w:rsid w:val="005330C3"/>
    <w:rsid w:val="00540D5F"/>
    <w:rsid w:val="005411D3"/>
    <w:rsid w:val="005423E7"/>
    <w:rsid w:val="00542704"/>
    <w:rsid w:val="005442ED"/>
    <w:rsid w:val="0055173A"/>
    <w:rsid w:val="0055459D"/>
    <w:rsid w:val="005570F0"/>
    <w:rsid w:val="00562B48"/>
    <w:rsid w:val="00564CC1"/>
    <w:rsid w:val="00566BE1"/>
    <w:rsid w:val="0057299C"/>
    <w:rsid w:val="00573825"/>
    <w:rsid w:val="00574D6C"/>
    <w:rsid w:val="005769E2"/>
    <w:rsid w:val="00576EBB"/>
    <w:rsid w:val="00581CDC"/>
    <w:rsid w:val="005820ED"/>
    <w:rsid w:val="00585487"/>
    <w:rsid w:val="00586551"/>
    <w:rsid w:val="005943AD"/>
    <w:rsid w:val="0059500D"/>
    <w:rsid w:val="005A0997"/>
    <w:rsid w:val="005A0F05"/>
    <w:rsid w:val="005A3E26"/>
    <w:rsid w:val="005B1333"/>
    <w:rsid w:val="005B1449"/>
    <w:rsid w:val="005B1AC6"/>
    <w:rsid w:val="005B504B"/>
    <w:rsid w:val="005B5A29"/>
    <w:rsid w:val="005B74C6"/>
    <w:rsid w:val="005D4CCA"/>
    <w:rsid w:val="005E1E13"/>
    <w:rsid w:val="005E3D0D"/>
    <w:rsid w:val="005E3F6D"/>
    <w:rsid w:val="005E70E2"/>
    <w:rsid w:val="005F4BC7"/>
    <w:rsid w:val="00602723"/>
    <w:rsid w:val="00604B84"/>
    <w:rsid w:val="00613E47"/>
    <w:rsid w:val="006178A6"/>
    <w:rsid w:val="006209F8"/>
    <w:rsid w:val="00625062"/>
    <w:rsid w:val="006266C0"/>
    <w:rsid w:val="00627F2C"/>
    <w:rsid w:val="00630FD4"/>
    <w:rsid w:val="0063473D"/>
    <w:rsid w:val="00644C9E"/>
    <w:rsid w:val="006507B7"/>
    <w:rsid w:val="00651719"/>
    <w:rsid w:val="00660975"/>
    <w:rsid w:val="006659F3"/>
    <w:rsid w:val="00673158"/>
    <w:rsid w:val="006855DD"/>
    <w:rsid w:val="00686053"/>
    <w:rsid w:val="006860FF"/>
    <w:rsid w:val="006929B6"/>
    <w:rsid w:val="006949AD"/>
    <w:rsid w:val="00694AF7"/>
    <w:rsid w:val="006B0BFD"/>
    <w:rsid w:val="006B1926"/>
    <w:rsid w:val="006B273C"/>
    <w:rsid w:val="006B5803"/>
    <w:rsid w:val="006B62DE"/>
    <w:rsid w:val="006B7AAB"/>
    <w:rsid w:val="006B7E01"/>
    <w:rsid w:val="006C23F7"/>
    <w:rsid w:val="006C340F"/>
    <w:rsid w:val="006C3758"/>
    <w:rsid w:val="006C602E"/>
    <w:rsid w:val="006D009B"/>
    <w:rsid w:val="006D1DDE"/>
    <w:rsid w:val="006D2F55"/>
    <w:rsid w:val="006D449A"/>
    <w:rsid w:val="006E03A2"/>
    <w:rsid w:val="006E04AE"/>
    <w:rsid w:val="006E43D5"/>
    <w:rsid w:val="006E7612"/>
    <w:rsid w:val="006E780C"/>
    <w:rsid w:val="006F0289"/>
    <w:rsid w:val="006F0765"/>
    <w:rsid w:val="006F0D1E"/>
    <w:rsid w:val="006F3413"/>
    <w:rsid w:val="006F3504"/>
    <w:rsid w:val="00700925"/>
    <w:rsid w:val="00710D17"/>
    <w:rsid w:val="00723E72"/>
    <w:rsid w:val="00726111"/>
    <w:rsid w:val="00733DDD"/>
    <w:rsid w:val="00737C50"/>
    <w:rsid w:val="0074066C"/>
    <w:rsid w:val="00741A37"/>
    <w:rsid w:val="0074254C"/>
    <w:rsid w:val="00751C5F"/>
    <w:rsid w:val="0075794F"/>
    <w:rsid w:val="0076119B"/>
    <w:rsid w:val="007659A2"/>
    <w:rsid w:val="00766FC8"/>
    <w:rsid w:val="007703AA"/>
    <w:rsid w:val="007823A5"/>
    <w:rsid w:val="00785AA6"/>
    <w:rsid w:val="00786319"/>
    <w:rsid w:val="0078782A"/>
    <w:rsid w:val="007915AD"/>
    <w:rsid w:val="007946F7"/>
    <w:rsid w:val="00794A61"/>
    <w:rsid w:val="007A13D7"/>
    <w:rsid w:val="007A463D"/>
    <w:rsid w:val="007A665D"/>
    <w:rsid w:val="007A7C60"/>
    <w:rsid w:val="007B6FD8"/>
    <w:rsid w:val="007D1966"/>
    <w:rsid w:val="007D2936"/>
    <w:rsid w:val="007D41CB"/>
    <w:rsid w:val="007D6F07"/>
    <w:rsid w:val="007E71EB"/>
    <w:rsid w:val="007F5D63"/>
    <w:rsid w:val="00807266"/>
    <w:rsid w:val="00810180"/>
    <w:rsid w:val="008106CB"/>
    <w:rsid w:val="0081137C"/>
    <w:rsid w:val="00813A81"/>
    <w:rsid w:val="00813DDE"/>
    <w:rsid w:val="00815735"/>
    <w:rsid w:val="00815E79"/>
    <w:rsid w:val="0081608E"/>
    <w:rsid w:val="00816D6F"/>
    <w:rsid w:val="00817A75"/>
    <w:rsid w:val="00820789"/>
    <w:rsid w:val="00822565"/>
    <w:rsid w:val="0083119C"/>
    <w:rsid w:val="00832AB5"/>
    <w:rsid w:val="008363B7"/>
    <w:rsid w:val="0084254F"/>
    <w:rsid w:val="00843125"/>
    <w:rsid w:val="00844228"/>
    <w:rsid w:val="0084576F"/>
    <w:rsid w:val="00853BB5"/>
    <w:rsid w:val="008556AA"/>
    <w:rsid w:val="00855C78"/>
    <w:rsid w:val="008565CC"/>
    <w:rsid w:val="00861463"/>
    <w:rsid w:val="008775B1"/>
    <w:rsid w:val="00877D41"/>
    <w:rsid w:val="00883D4B"/>
    <w:rsid w:val="008843E3"/>
    <w:rsid w:val="0089271E"/>
    <w:rsid w:val="00894592"/>
    <w:rsid w:val="008962E8"/>
    <w:rsid w:val="008A185C"/>
    <w:rsid w:val="008A33D1"/>
    <w:rsid w:val="008A4D84"/>
    <w:rsid w:val="008A4EC0"/>
    <w:rsid w:val="008A746B"/>
    <w:rsid w:val="008B3A8B"/>
    <w:rsid w:val="008B3B9A"/>
    <w:rsid w:val="008C0BAF"/>
    <w:rsid w:val="008C0E0B"/>
    <w:rsid w:val="008C0F83"/>
    <w:rsid w:val="008C16C2"/>
    <w:rsid w:val="008C2698"/>
    <w:rsid w:val="008C347A"/>
    <w:rsid w:val="008C3FC6"/>
    <w:rsid w:val="008C6A5E"/>
    <w:rsid w:val="008C6AF4"/>
    <w:rsid w:val="008C7017"/>
    <w:rsid w:val="008C70B5"/>
    <w:rsid w:val="008C78B8"/>
    <w:rsid w:val="008D006E"/>
    <w:rsid w:val="008D75B7"/>
    <w:rsid w:val="008E370D"/>
    <w:rsid w:val="008F7671"/>
    <w:rsid w:val="009013ED"/>
    <w:rsid w:val="0090211D"/>
    <w:rsid w:val="0090682E"/>
    <w:rsid w:val="00912F1B"/>
    <w:rsid w:val="0091307E"/>
    <w:rsid w:val="00914CA8"/>
    <w:rsid w:val="00916451"/>
    <w:rsid w:val="0092115D"/>
    <w:rsid w:val="0092381A"/>
    <w:rsid w:val="009257AB"/>
    <w:rsid w:val="00925DE8"/>
    <w:rsid w:val="0092688B"/>
    <w:rsid w:val="0092720B"/>
    <w:rsid w:val="00931D13"/>
    <w:rsid w:val="00934228"/>
    <w:rsid w:val="00936551"/>
    <w:rsid w:val="00940DF9"/>
    <w:rsid w:val="00940FA7"/>
    <w:rsid w:val="00941E28"/>
    <w:rsid w:val="00943241"/>
    <w:rsid w:val="0094340B"/>
    <w:rsid w:val="00947CCA"/>
    <w:rsid w:val="00947EC9"/>
    <w:rsid w:val="009543F1"/>
    <w:rsid w:val="00960D67"/>
    <w:rsid w:val="00962D28"/>
    <w:rsid w:val="00962E2D"/>
    <w:rsid w:val="009633AA"/>
    <w:rsid w:val="00963AA0"/>
    <w:rsid w:val="00964E65"/>
    <w:rsid w:val="00970F8B"/>
    <w:rsid w:val="00975D45"/>
    <w:rsid w:val="009764FE"/>
    <w:rsid w:val="00980A2E"/>
    <w:rsid w:val="00986305"/>
    <w:rsid w:val="00991741"/>
    <w:rsid w:val="00997617"/>
    <w:rsid w:val="009A2A31"/>
    <w:rsid w:val="009B4116"/>
    <w:rsid w:val="009B6FB2"/>
    <w:rsid w:val="009C4CD1"/>
    <w:rsid w:val="009C6D1E"/>
    <w:rsid w:val="009D15D8"/>
    <w:rsid w:val="009D2893"/>
    <w:rsid w:val="009E01F3"/>
    <w:rsid w:val="009E1143"/>
    <w:rsid w:val="009F7EF8"/>
    <w:rsid w:val="00A018F6"/>
    <w:rsid w:val="00A04664"/>
    <w:rsid w:val="00A1199F"/>
    <w:rsid w:val="00A13348"/>
    <w:rsid w:val="00A17740"/>
    <w:rsid w:val="00A23740"/>
    <w:rsid w:val="00A23A54"/>
    <w:rsid w:val="00A27577"/>
    <w:rsid w:val="00A43343"/>
    <w:rsid w:val="00A44298"/>
    <w:rsid w:val="00A44878"/>
    <w:rsid w:val="00A44959"/>
    <w:rsid w:val="00A52096"/>
    <w:rsid w:val="00A545CB"/>
    <w:rsid w:val="00A5603B"/>
    <w:rsid w:val="00A5642F"/>
    <w:rsid w:val="00A56A99"/>
    <w:rsid w:val="00A577F0"/>
    <w:rsid w:val="00A57F8D"/>
    <w:rsid w:val="00A61246"/>
    <w:rsid w:val="00A61357"/>
    <w:rsid w:val="00A73055"/>
    <w:rsid w:val="00A73557"/>
    <w:rsid w:val="00A769A8"/>
    <w:rsid w:val="00A82840"/>
    <w:rsid w:val="00A83E96"/>
    <w:rsid w:val="00A85D1D"/>
    <w:rsid w:val="00A85ECD"/>
    <w:rsid w:val="00A860ED"/>
    <w:rsid w:val="00A90D53"/>
    <w:rsid w:val="00A90DB6"/>
    <w:rsid w:val="00A928DC"/>
    <w:rsid w:val="00AA0030"/>
    <w:rsid w:val="00AB0D15"/>
    <w:rsid w:val="00AB6605"/>
    <w:rsid w:val="00AC0925"/>
    <w:rsid w:val="00AC16AC"/>
    <w:rsid w:val="00AC40DB"/>
    <w:rsid w:val="00AC4EA4"/>
    <w:rsid w:val="00AD1F8A"/>
    <w:rsid w:val="00AD4C34"/>
    <w:rsid w:val="00AD6FD9"/>
    <w:rsid w:val="00AE3382"/>
    <w:rsid w:val="00AE5122"/>
    <w:rsid w:val="00AE7A3C"/>
    <w:rsid w:val="00AF010E"/>
    <w:rsid w:val="00AF38BD"/>
    <w:rsid w:val="00AF5D21"/>
    <w:rsid w:val="00B001EF"/>
    <w:rsid w:val="00B0116D"/>
    <w:rsid w:val="00B02946"/>
    <w:rsid w:val="00B06262"/>
    <w:rsid w:val="00B07AAC"/>
    <w:rsid w:val="00B133FB"/>
    <w:rsid w:val="00B1399B"/>
    <w:rsid w:val="00B1495A"/>
    <w:rsid w:val="00B20ED8"/>
    <w:rsid w:val="00B22E17"/>
    <w:rsid w:val="00B23334"/>
    <w:rsid w:val="00B325B1"/>
    <w:rsid w:val="00B36FB1"/>
    <w:rsid w:val="00B41C01"/>
    <w:rsid w:val="00B436A7"/>
    <w:rsid w:val="00B44977"/>
    <w:rsid w:val="00B50579"/>
    <w:rsid w:val="00B51B66"/>
    <w:rsid w:val="00B5450E"/>
    <w:rsid w:val="00B54A83"/>
    <w:rsid w:val="00B57256"/>
    <w:rsid w:val="00B631D8"/>
    <w:rsid w:val="00B63BAF"/>
    <w:rsid w:val="00B63FA1"/>
    <w:rsid w:val="00B640A8"/>
    <w:rsid w:val="00B649F4"/>
    <w:rsid w:val="00B6512A"/>
    <w:rsid w:val="00B6700B"/>
    <w:rsid w:val="00B83E07"/>
    <w:rsid w:val="00B844F9"/>
    <w:rsid w:val="00B85160"/>
    <w:rsid w:val="00B8586F"/>
    <w:rsid w:val="00B96325"/>
    <w:rsid w:val="00BA39AF"/>
    <w:rsid w:val="00BA7FC8"/>
    <w:rsid w:val="00BB0486"/>
    <w:rsid w:val="00BB0AA5"/>
    <w:rsid w:val="00BB22AF"/>
    <w:rsid w:val="00BB3B2E"/>
    <w:rsid w:val="00BB3E5B"/>
    <w:rsid w:val="00BB4C00"/>
    <w:rsid w:val="00BC7A2C"/>
    <w:rsid w:val="00BD3D74"/>
    <w:rsid w:val="00BD4020"/>
    <w:rsid w:val="00BE1B70"/>
    <w:rsid w:val="00BE222D"/>
    <w:rsid w:val="00BE332C"/>
    <w:rsid w:val="00BE44B4"/>
    <w:rsid w:val="00BF343E"/>
    <w:rsid w:val="00C100C6"/>
    <w:rsid w:val="00C115D0"/>
    <w:rsid w:val="00C11C6D"/>
    <w:rsid w:val="00C13D10"/>
    <w:rsid w:val="00C16D5A"/>
    <w:rsid w:val="00C216F3"/>
    <w:rsid w:val="00C230ED"/>
    <w:rsid w:val="00C246B6"/>
    <w:rsid w:val="00C25E98"/>
    <w:rsid w:val="00C262A1"/>
    <w:rsid w:val="00C27C59"/>
    <w:rsid w:val="00C30B87"/>
    <w:rsid w:val="00C33C13"/>
    <w:rsid w:val="00C363E6"/>
    <w:rsid w:val="00C36E4E"/>
    <w:rsid w:val="00C375AA"/>
    <w:rsid w:val="00C41E07"/>
    <w:rsid w:val="00C4237F"/>
    <w:rsid w:val="00C446E6"/>
    <w:rsid w:val="00C45100"/>
    <w:rsid w:val="00C469F7"/>
    <w:rsid w:val="00C473F0"/>
    <w:rsid w:val="00C53F1A"/>
    <w:rsid w:val="00C63411"/>
    <w:rsid w:val="00C64634"/>
    <w:rsid w:val="00C66DCC"/>
    <w:rsid w:val="00C70A8A"/>
    <w:rsid w:val="00C72964"/>
    <w:rsid w:val="00C729D2"/>
    <w:rsid w:val="00C82EE5"/>
    <w:rsid w:val="00C849E3"/>
    <w:rsid w:val="00C8518C"/>
    <w:rsid w:val="00C8660A"/>
    <w:rsid w:val="00C90892"/>
    <w:rsid w:val="00C92610"/>
    <w:rsid w:val="00C93669"/>
    <w:rsid w:val="00C95F11"/>
    <w:rsid w:val="00CA0F42"/>
    <w:rsid w:val="00CA313B"/>
    <w:rsid w:val="00CA42AA"/>
    <w:rsid w:val="00CB6588"/>
    <w:rsid w:val="00CC0185"/>
    <w:rsid w:val="00CC457C"/>
    <w:rsid w:val="00CC7136"/>
    <w:rsid w:val="00CC7A0E"/>
    <w:rsid w:val="00CD451F"/>
    <w:rsid w:val="00CD5C7C"/>
    <w:rsid w:val="00CE1EC9"/>
    <w:rsid w:val="00CF3D3C"/>
    <w:rsid w:val="00CF437D"/>
    <w:rsid w:val="00CF5605"/>
    <w:rsid w:val="00CF5A17"/>
    <w:rsid w:val="00CF61C0"/>
    <w:rsid w:val="00CF7D3D"/>
    <w:rsid w:val="00D001F5"/>
    <w:rsid w:val="00D05579"/>
    <w:rsid w:val="00D06655"/>
    <w:rsid w:val="00D0718D"/>
    <w:rsid w:val="00D16186"/>
    <w:rsid w:val="00D200EB"/>
    <w:rsid w:val="00D32A19"/>
    <w:rsid w:val="00D33FD6"/>
    <w:rsid w:val="00D35103"/>
    <w:rsid w:val="00D36219"/>
    <w:rsid w:val="00D43C02"/>
    <w:rsid w:val="00D46F45"/>
    <w:rsid w:val="00D60862"/>
    <w:rsid w:val="00D65CA0"/>
    <w:rsid w:val="00D667C3"/>
    <w:rsid w:val="00D71011"/>
    <w:rsid w:val="00D733AD"/>
    <w:rsid w:val="00D745E2"/>
    <w:rsid w:val="00D768EE"/>
    <w:rsid w:val="00D81C70"/>
    <w:rsid w:val="00D836DB"/>
    <w:rsid w:val="00D84322"/>
    <w:rsid w:val="00D84840"/>
    <w:rsid w:val="00D849CB"/>
    <w:rsid w:val="00D90D4E"/>
    <w:rsid w:val="00D92ACF"/>
    <w:rsid w:val="00D93405"/>
    <w:rsid w:val="00D96698"/>
    <w:rsid w:val="00DA2ED0"/>
    <w:rsid w:val="00DA55A8"/>
    <w:rsid w:val="00DA5829"/>
    <w:rsid w:val="00DA7103"/>
    <w:rsid w:val="00DB4799"/>
    <w:rsid w:val="00DB5C51"/>
    <w:rsid w:val="00DB6F4E"/>
    <w:rsid w:val="00DC0FCD"/>
    <w:rsid w:val="00DD08FA"/>
    <w:rsid w:val="00DD0F12"/>
    <w:rsid w:val="00DD0FE1"/>
    <w:rsid w:val="00DD27FA"/>
    <w:rsid w:val="00DD33EA"/>
    <w:rsid w:val="00DD418C"/>
    <w:rsid w:val="00DE427A"/>
    <w:rsid w:val="00DE5825"/>
    <w:rsid w:val="00DE5FC1"/>
    <w:rsid w:val="00DE6208"/>
    <w:rsid w:val="00DE6919"/>
    <w:rsid w:val="00DE6A34"/>
    <w:rsid w:val="00DF1FD7"/>
    <w:rsid w:val="00DF3604"/>
    <w:rsid w:val="00DF48C5"/>
    <w:rsid w:val="00DF577F"/>
    <w:rsid w:val="00DF5857"/>
    <w:rsid w:val="00DF63B9"/>
    <w:rsid w:val="00E021FC"/>
    <w:rsid w:val="00E05759"/>
    <w:rsid w:val="00E0645E"/>
    <w:rsid w:val="00E21C54"/>
    <w:rsid w:val="00E2554F"/>
    <w:rsid w:val="00E31263"/>
    <w:rsid w:val="00E33609"/>
    <w:rsid w:val="00E33EA6"/>
    <w:rsid w:val="00E35664"/>
    <w:rsid w:val="00E378EF"/>
    <w:rsid w:val="00E37FB9"/>
    <w:rsid w:val="00E41613"/>
    <w:rsid w:val="00E45268"/>
    <w:rsid w:val="00E4610A"/>
    <w:rsid w:val="00E4662D"/>
    <w:rsid w:val="00E46656"/>
    <w:rsid w:val="00E46D8E"/>
    <w:rsid w:val="00E47092"/>
    <w:rsid w:val="00E520A5"/>
    <w:rsid w:val="00E52F8E"/>
    <w:rsid w:val="00E5517C"/>
    <w:rsid w:val="00E554C3"/>
    <w:rsid w:val="00E64D1F"/>
    <w:rsid w:val="00E662A1"/>
    <w:rsid w:val="00E66D33"/>
    <w:rsid w:val="00E71E39"/>
    <w:rsid w:val="00E81615"/>
    <w:rsid w:val="00E831DB"/>
    <w:rsid w:val="00E85B33"/>
    <w:rsid w:val="00E86FD0"/>
    <w:rsid w:val="00E91CC7"/>
    <w:rsid w:val="00E92886"/>
    <w:rsid w:val="00E9388F"/>
    <w:rsid w:val="00E9589E"/>
    <w:rsid w:val="00E97027"/>
    <w:rsid w:val="00E97D97"/>
    <w:rsid w:val="00EA2EBB"/>
    <w:rsid w:val="00EB2F5B"/>
    <w:rsid w:val="00EB3276"/>
    <w:rsid w:val="00EB751C"/>
    <w:rsid w:val="00EC5051"/>
    <w:rsid w:val="00EC5F66"/>
    <w:rsid w:val="00ED452B"/>
    <w:rsid w:val="00ED6206"/>
    <w:rsid w:val="00ED795C"/>
    <w:rsid w:val="00EE0D87"/>
    <w:rsid w:val="00EE228F"/>
    <w:rsid w:val="00EE3DC7"/>
    <w:rsid w:val="00EE68AF"/>
    <w:rsid w:val="00EF127A"/>
    <w:rsid w:val="00EF1491"/>
    <w:rsid w:val="00EF25B6"/>
    <w:rsid w:val="00EF272F"/>
    <w:rsid w:val="00EF3589"/>
    <w:rsid w:val="00EF3B82"/>
    <w:rsid w:val="00EF4501"/>
    <w:rsid w:val="00EF688A"/>
    <w:rsid w:val="00EF6FDE"/>
    <w:rsid w:val="00EF7996"/>
    <w:rsid w:val="00EF7CFB"/>
    <w:rsid w:val="00F0481E"/>
    <w:rsid w:val="00F11390"/>
    <w:rsid w:val="00F11BDE"/>
    <w:rsid w:val="00F13597"/>
    <w:rsid w:val="00F14B0F"/>
    <w:rsid w:val="00F17D8C"/>
    <w:rsid w:val="00F23FBF"/>
    <w:rsid w:val="00F27B7A"/>
    <w:rsid w:val="00F346C7"/>
    <w:rsid w:val="00F35E9D"/>
    <w:rsid w:val="00F3624B"/>
    <w:rsid w:val="00F362ED"/>
    <w:rsid w:val="00F41C61"/>
    <w:rsid w:val="00F422BE"/>
    <w:rsid w:val="00F43187"/>
    <w:rsid w:val="00F44C4A"/>
    <w:rsid w:val="00F516F8"/>
    <w:rsid w:val="00F51756"/>
    <w:rsid w:val="00F55651"/>
    <w:rsid w:val="00F56936"/>
    <w:rsid w:val="00F62960"/>
    <w:rsid w:val="00F729DF"/>
    <w:rsid w:val="00F753A5"/>
    <w:rsid w:val="00F76FEF"/>
    <w:rsid w:val="00F805B4"/>
    <w:rsid w:val="00F84F72"/>
    <w:rsid w:val="00F85F33"/>
    <w:rsid w:val="00F85FCE"/>
    <w:rsid w:val="00F877FA"/>
    <w:rsid w:val="00F95FCB"/>
    <w:rsid w:val="00F96D43"/>
    <w:rsid w:val="00F96DA5"/>
    <w:rsid w:val="00FA0CF8"/>
    <w:rsid w:val="00FA1F9E"/>
    <w:rsid w:val="00FA2D14"/>
    <w:rsid w:val="00FA2E1A"/>
    <w:rsid w:val="00FA36B8"/>
    <w:rsid w:val="00FB1F9E"/>
    <w:rsid w:val="00FB4E90"/>
    <w:rsid w:val="00FB5798"/>
    <w:rsid w:val="00FC069A"/>
    <w:rsid w:val="00FC136F"/>
    <w:rsid w:val="00FC169D"/>
    <w:rsid w:val="00FC1806"/>
    <w:rsid w:val="00FC1E9C"/>
    <w:rsid w:val="00FD09B3"/>
    <w:rsid w:val="00FD1E8E"/>
    <w:rsid w:val="00FD4733"/>
    <w:rsid w:val="00FD6EDC"/>
    <w:rsid w:val="00FE1AEC"/>
    <w:rsid w:val="00FE4DC1"/>
    <w:rsid w:val="00FE66C1"/>
    <w:rsid w:val="00FE782B"/>
    <w:rsid w:val="00FF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2C226"/>
  <w15:chartTrackingRefBased/>
  <w15:docId w15:val="{DBAA33C2-BBF7-4041-900D-0F7056CA2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1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01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305"/>
    <w:pPr>
      <w:ind w:left="720"/>
      <w:contextualSpacing/>
    </w:pPr>
  </w:style>
  <w:style w:type="character" w:styleId="Emphasis">
    <w:name w:val="Emphasis"/>
    <w:basedOn w:val="DefaultParagraphFont"/>
    <w:uiPriority w:val="20"/>
    <w:qFormat/>
    <w:rsid w:val="00E64D1F"/>
    <w:rPr>
      <w:i/>
      <w:iCs/>
    </w:rPr>
  </w:style>
  <w:style w:type="paragraph" w:styleId="FootnoteText">
    <w:name w:val="footnote text"/>
    <w:basedOn w:val="Normal"/>
    <w:link w:val="FootnoteTextChar"/>
    <w:uiPriority w:val="99"/>
    <w:semiHidden/>
    <w:unhideWhenUsed/>
    <w:rsid w:val="00E64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D1F"/>
    <w:rPr>
      <w:sz w:val="20"/>
      <w:szCs w:val="20"/>
    </w:rPr>
  </w:style>
  <w:style w:type="character" w:styleId="FootnoteReference">
    <w:name w:val="footnote reference"/>
    <w:basedOn w:val="DefaultParagraphFont"/>
    <w:uiPriority w:val="99"/>
    <w:semiHidden/>
    <w:unhideWhenUsed/>
    <w:rsid w:val="00E64D1F"/>
    <w:rPr>
      <w:vertAlign w:val="superscript"/>
    </w:rPr>
  </w:style>
  <w:style w:type="character" w:styleId="Hyperlink">
    <w:name w:val="Hyperlink"/>
    <w:basedOn w:val="DefaultParagraphFont"/>
    <w:uiPriority w:val="99"/>
    <w:unhideWhenUsed/>
    <w:rsid w:val="005B1333"/>
    <w:rPr>
      <w:color w:val="0000FF"/>
      <w:u w:val="single"/>
    </w:rPr>
  </w:style>
  <w:style w:type="paragraph" w:styleId="Title">
    <w:name w:val="Title"/>
    <w:basedOn w:val="Normal"/>
    <w:next w:val="Normal"/>
    <w:link w:val="TitleChar"/>
    <w:uiPriority w:val="10"/>
    <w:qFormat/>
    <w:rsid w:val="00AF0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F01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010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85B33"/>
    <w:pPr>
      <w:outlineLvl w:val="9"/>
    </w:pPr>
  </w:style>
  <w:style w:type="paragraph" w:styleId="TOC1">
    <w:name w:val="toc 1"/>
    <w:basedOn w:val="Normal"/>
    <w:next w:val="Normal"/>
    <w:autoRedefine/>
    <w:uiPriority w:val="39"/>
    <w:unhideWhenUsed/>
    <w:rsid w:val="00E85B33"/>
    <w:pPr>
      <w:spacing w:after="100"/>
    </w:pPr>
  </w:style>
  <w:style w:type="paragraph" w:styleId="TOC2">
    <w:name w:val="toc 2"/>
    <w:basedOn w:val="Normal"/>
    <w:next w:val="Normal"/>
    <w:autoRedefine/>
    <w:uiPriority w:val="39"/>
    <w:unhideWhenUsed/>
    <w:rsid w:val="00E85B33"/>
    <w:pPr>
      <w:spacing w:after="100"/>
      <w:ind w:left="220"/>
    </w:pPr>
  </w:style>
  <w:style w:type="character" w:styleId="SubtleReference">
    <w:name w:val="Subtle Reference"/>
    <w:basedOn w:val="DefaultParagraphFont"/>
    <w:uiPriority w:val="31"/>
    <w:qFormat/>
    <w:rsid w:val="00A44298"/>
    <w:rPr>
      <w:smallCaps/>
      <w:color w:val="5A5A5A" w:themeColor="text1" w:themeTint="A5"/>
    </w:rPr>
  </w:style>
  <w:style w:type="paragraph" w:styleId="Header">
    <w:name w:val="header"/>
    <w:basedOn w:val="Normal"/>
    <w:link w:val="HeaderChar"/>
    <w:uiPriority w:val="99"/>
    <w:unhideWhenUsed/>
    <w:rsid w:val="008A7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46B"/>
  </w:style>
  <w:style w:type="paragraph" w:styleId="Footer">
    <w:name w:val="footer"/>
    <w:basedOn w:val="Normal"/>
    <w:link w:val="FooterChar"/>
    <w:uiPriority w:val="99"/>
    <w:unhideWhenUsed/>
    <w:rsid w:val="008A7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46B"/>
  </w:style>
  <w:style w:type="paragraph" w:styleId="NoSpacing">
    <w:name w:val="No Spacing"/>
    <w:link w:val="NoSpacingChar"/>
    <w:uiPriority w:val="1"/>
    <w:qFormat/>
    <w:rsid w:val="00AE3382"/>
    <w:pPr>
      <w:spacing w:after="0" w:line="240" w:lineRule="auto"/>
    </w:pPr>
    <w:rPr>
      <w:rFonts w:eastAsiaTheme="minorEastAsia"/>
    </w:rPr>
  </w:style>
  <w:style w:type="character" w:customStyle="1" w:styleId="NoSpacingChar">
    <w:name w:val="No Spacing Char"/>
    <w:basedOn w:val="DefaultParagraphFont"/>
    <w:link w:val="NoSpacing"/>
    <w:uiPriority w:val="1"/>
    <w:rsid w:val="00AE3382"/>
    <w:rPr>
      <w:rFonts w:eastAsiaTheme="minorEastAsia"/>
    </w:rPr>
  </w:style>
  <w:style w:type="paragraph" w:styleId="BalloonText">
    <w:name w:val="Balloon Text"/>
    <w:basedOn w:val="Normal"/>
    <w:link w:val="BalloonTextChar"/>
    <w:uiPriority w:val="99"/>
    <w:semiHidden/>
    <w:unhideWhenUsed/>
    <w:rsid w:val="008442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2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1771">
      <w:bodyDiv w:val="1"/>
      <w:marLeft w:val="0"/>
      <w:marRight w:val="0"/>
      <w:marTop w:val="0"/>
      <w:marBottom w:val="0"/>
      <w:divBdr>
        <w:top w:val="none" w:sz="0" w:space="0" w:color="auto"/>
        <w:left w:val="none" w:sz="0" w:space="0" w:color="auto"/>
        <w:bottom w:val="none" w:sz="0" w:space="0" w:color="auto"/>
        <w:right w:val="none" w:sz="0" w:space="0" w:color="auto"/>
      </w:divBdr>
    </w:div>
    <w:div w:id="282268298">
      <w:bodyDiv w:val="1"/>
      <w:marLeft w:val="0"/>
      <w:marRight w:val="0"/>
      <w:marTop w:val="0"/>
      <w:marBottom w:val="0"/>
      <w:divBdr>
        <w:top w:val="none" w:sz="0" w:space="0" w:color="auto"/>
        <w:left w:val="none" w:sz="0" w:space="0" w:color="auto"/>
        <w:bottom w:val="none" w:sz="0" w:space="0" w:color="auto"/>
        <w:right w:val="none" w:sz="0" w:space="0" w:color="auto"/>
      </w:divBdr>
    </w:div>
    <w:div w:id="1348213312">
      <w:bodyDiv w:val="1"/>
      <w:marLeft w:val="0"/>
      <w:marRight w:val="0"/>
      <w:marTop w:val="0"/>
      <w:marBottom w:val="0"/>
      <w:divBdr>
        <w:top w:val="none" w:sz="0" w:space="0" w:color="auto"/>
        <w:left w:val="none" w:sz="0" w:space="0" w:color="auto"/>
        <w:bottom w:val="none" w:sz="0" w:space="0" w:color="auto"/>
        <w:right w:val="none" w:sz="0" w:space="0" w:color="auto"/>
      </w:divBdr>
    </w:div>
    <w:div w:id="1403330351">
      <w:bodyDiv w:val="1"/>
      <w:marLeft w:val="0"/>
      <w:marRight w:val="0"/>
      <w:marTop w:val="0"/>
      <w:marBottom w:val="0"/>
      <w:divBdr>
        <w:top w:val="none" w:sz="0" w:space="0" w:color="auto"/>
        <w:left w:val="none" w:sz="0" w:space="0" w:color="auto"/>
        <w:bottom w:val="none" w:sz="0" w:space="0" w:color="auto"/>
        <w:right w:val="none" w:sz="0" w:space="0" w:color="auto"/>
      </w:divBdr>
    </w:div>
    <w:div w:id="1539974898">
      <w:bodyDiv w:val="1"/>
      <w:marLeft w:val="0"/>
      <w:marRight w:val="0"/>
      <w:marTop w:val="0"/>
      <w:marBottom w:val="0"/>
      <w:divBdr>
        <w:top w:val="none" w:sz="0" w:space="0" w:color="auto"/>
        <w:left w:val="none" w:sz="0" w:space="0" w:color="auto"/>
        <w:bottom w:val="none" w:sz="0" w:space="0" w:color="auto"/>
        <w:right w:val="none" w:sz="0" w:space="0" w:color="auto"/>
      </w:divBdr>
    </w:div>
    <w:div w:id="1563559931">
      <w:bodyDiv w:val="1"/>
      <w:marLeft w:val="0"/>
      <w:marRight w:val="0"/>
      <w:marTop w:val="0"/>
      <w:marBottom w:val="0"/>
      <w:divBdr>
        <w:top w:val="none" w:sz="0" w:space="0" w:color="auto"/>
        <w:left w:val="none" w:sz="0" w:space="0" w:color="auto"/>
        <w:bottom w:val="none" w:sz="0" w:space="0" w:color="auto"/>
        <w:right w:val="none" w:sz="0" w:space="0" w:color="auto"/>
      </w:divBdr>
    </w:div>
    <w:div w:id="19640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cms.gov/Research-Statistics-Data-and-Systems/Statistics-Trends-and-Reports/Medicare-Provider-Charge-Data/Inpati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2.emf"/></Relationships>
</file>

<file path=word/_rels/footnotes.xml.rels><?xml version="1.0" encoding="UTF-8" standalone="yes"?>
<Relationships xmlns="http://schemas.openxmlformats.org/package/2006/relationships"><Relationship Id="rId1" Type="http://schemas.openxmlformats.org/officeDocument/2006/relationships/hyperlink" Target="https://www.cms.gov/newsroom/press-releases/trump-administration-announces-historic-price-transparency-requirements-increase-competition-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A4F6C-88F7-44A1-9D01-B2E30E62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6489</TotalTime>
  <Pages>34</Pages>
  <Words>9710</Words>
  <Characters>55347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Basics of Healthcare Revenue Cycle for Industrial Engineers</dc:title>
  <dc:subject/>
  <dc:creator>Caroline Kolman, P.E.</dc:creator>
  <cp:keywords/>
  <dc:description/>
  <cp:lastModifiedBy>Caroline Kolman</cp:lastModifiedBy>
  <cp:revision>815</cp:revision>
  <dcterms:created xsi:type="dcterms:W3CDTF">2020-05-04T17:58:00Z</dcterms:created>
  <dcterms:modified xsi:type="dcterms:W3CDTF">2021-07-09T22:01:00Z</dcterms:modified>
</cp:coreProperties>
</file>