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276" w:before="0" w:after="140"/>
        <w:jc w:val="left"/>
        <w:rPr/>
      </w:pPr>
      <w:hyperlink r:id="rId2" w:tgtFrame="_blank">
        <w:r>
          <w:rPr>
            <w:rStyle w:val="InternetLink"/>
          </w:rPr>
          <w:t>Open Access 101</w:t>
        </w:r>
      </w:hyperlink>
      <w:r>
        <w:rPr/>
        <w:t xml:space="preserve"> gives us the basics of open access publishing - a core feature of Open Science.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The article starts: "</w:t>
      </w:r>
      <w:r>
        <w:rPr>
          <w:rStyle w:val="Emphasis"/>
        </w:rPr>
        <w:t>Open access, like many areas of publishing or higher education, generates jargon and acronyms. To add to the potential for confusion, open access is also multi-faceted: a movement, a publishing model and a business model</w:t>
      </w:r>
      <w:r>
        <w:rPr/>
        <w:t>."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It concludes: "</w:t>
      </w:r>
      <w:r>
        <w:rPr>
          <w:rStyle w:val="Emphasis"/>
        </w:rPr>
        <w:t>The open access – and more broadly the open scholarship – landscape is dynamic and constantly evolving. To foster change all stakeholders need to collaborate to create sustainable and equitable solutions that realise the potential of a more transparent and open scholarly communication system</w:t>
      </w:r>
      <w:r>
        <w:rPr/>
        <w:t>."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AU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hepi.ac.uk/2022/06/09/open-access-101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LibreOffice/7.2.2.2$Windows_X86_64 LibreOffice_project/02b2acce88a210515b4a5bb2e46cbfb63fe97d56</Application>
  <AppVersion>15.0000</AppVersion>
  <Pages>1</Pages>
  <Words>100</Words>
  <Characters>548</Characters>
  <CharactersWithSpaces>647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2022-09-09T13:49:16Z</dcterms:created>
  <dc:creator>Richard Heller</dc:creator>
  <dc:description/>
  <dc:language>en-AU</dc:language>
  <cp:lastModifiedBy>Richard Heller</cp:lastModifiedBy>
  <dcterms:modified xsi:type="dcterms:W3CDTF">2022-09-09T13:49:47Z</dcterms:modified>
  <cp:revision>1</cp:revision>
  <dc:subject/>
  <dc:title/>
</cp:coreProperties>
</file>