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2"/>
        <w:bidi w:val="0"/>
        <w:spacing w:before="200" w:after="120"/>
        <w:jc w:val="left"/>
        <w:rPr/>
      </w:pPr>
      <w:r>
        <w:rPr/>
        <w:t>General issues about publishing</w:t>
      </w:r>
    </w:p>
    <w:p>
      <w:pPr>
        <w:pStyle w:val="Normal"/>
        <w:numPr>
          <w:ilvl w:val="0"/>
          <w:numId w:val="2"/>
        </w:numPr>
        <w:tabs>
          <w:tab w:val="clear" w:pos="709"/>
          <w:tab w:val="left" w:pos="707" w:leader="none"/>
        </w:tabs>
        <w:bidi w:val="0"/>
        <w:ind w:left="707" w:hanging="283"/>
        <w:jc w:val="left"/>
        <w:rPr/>
      </w:pPr>
      <w:bookmarkStart w:id="0" w:name="yui_3_17_2_1_1662535824834_614"/>
      <w:bookmarkEnd w:id="0"/>
      <w:r>
        <w:rPr/>
        <w:t>Principles of Transparency and Best Practice in Scholarly Publishing.</w:t>
      </w:r>
      <w:bookmarkStart w:id="1" w:name="OBJ_PREFIX_DWT956_com_zimbra_url"/>
      <w:bookmarkEnd w:id="1"/>
      <w:r>
        <w:rPr/>
        <w:t xml:space="preserve"> </w:t>
      </w:r>
      <w:hyperlink r:id="rId2" w:tgtFrame="_blank">
        <w:r>
          <w:rPr>
            <w:rStyle w:val="InternetLink"/>
            <w:color w:val="12AEE0"/>
          </w:rPr>
          <w:t>COPE</w:t>
        </w:r>
      </w:hyperlink>
      <w:r>
        <w:rPr/>
        <w:t>,</w:t>
      </w:r>
      <w:bookmarkStart w:id="2" w:name="OBJ_PREFIX_DWT957_com_zimbra_url"/>
      <w:bookmarkEnd w:id="2"/>
      <w:r>
        <w:rPr/>
        <w:t xml:space="preserve"> </w:t>
      </w:r>
      <w:hyperlink r:id="rId3" w:tgtFrame="_blank">
        <w:r>
          <w:rPr>
            <w:rStyle w:val="InternetLink"/>
            <w:color w:val="12AEE0"/>
          </w:rPr>
          <w:t>DOAJ</w:t>
        </w:r>
      </w:hyperlink>
      <w:r>
        <w:rPr/>
        <w:t>,</w:t>
      </w:r>
      <w:bookmarkStart w:id="3" w:name="OBJ_PREFIX_DWT958_com_zimbra_url"/>
      <w:bookmarkEnd w:id="3"/>
      <w:r>
        <w:rPr/>
        <w:t xml:space="preserve"> </w:t>
      </w:r>
      <w:hyperlink r:id="rId4" w:tgtFrame="_blank">
        <w:r>
          <w:rPr>
            <w:rStyle w:val="InternetLink"/>
            <w:color w:val="12AEE0"/>
          </w:rPr>
          <w:t>OASPA</w:t>
        </w:r>
      </w:hyperlink>
      <w:r>
        <w:rPr/>
        <w:t>, and</w:t>
      </w:r>
      <w:bookmarkStart w:id="4" w:name="OBJ_PREFIX_DWT959_com_zimbra_url"/>
      <w:bookmarkEnd w:id="4"/>
      <w:r>
        <w:rPr/>
        <w:t xml:space="preserve"> </w:t>
      </w:r>
      <w:hyperlink r:id="rId5" w:tgtFrame="_blank">
        <w:r>
          <w:rPr>
            <w:rStyle w:val="InternetLink"/>
            <w:color w:val="12AEE0"/>
          </w:rPr>
          <w:t>WAME</w:t>
        </w:r>
      </w:hyperlink>
      <w:r>
        <w:rPr/>
        <w:t xml:space="preserve"> collaborated to identify principles of transparency and best practice for scholarly publications.</w:t>
      </w:r>
    </w:p>
    <w:p>
      <w:pPr>
        <w:pStyle w:val="Normal"/>
        <w:numPr>
          <w:ilvl w:val="0"/>
          <w:numId w:val="2"/>
        </w:numPr>
        <w:tabs>
          <w:tab w:val="clear" w:pos="709"/>
          <w:tab w:val="left" w:pos="707" w:leader="none"/>
        </w:tabs>
        <w:bidi w:val="0"/>
        <w:ind w:left="707" w:hanging="283"/>
        <w:jc w:val="left"/>
        <w:rPr/>
      </w:pPr>
      <w:r>
        <w:rPr/>
        <w:t>Selection of external links that AJOL hopes will be useful additional sources of information to researchers.</w:t>
        <w:br/>
      </w:r>
      <w:r>
        <w:rPr>
          <w:rStyle w:val="StrongEmphasis"/>
        </w:rPr>
        <w:t>Resource:</w:t>
      </w:r>
      <w:r>
        <w:rPr/>
        <w:t xml:space="preserve"> </w:t>
      </w:r>
      <w:hyperlink r:id="rId6" w:tgtFrame="_blank">
        <w:r>
          <w:rPr>
            <w:rStyle w:val="InternetLink"/>
            <w:color w:val="12AEE0"/>
          </w:rPr>
          <w:t>https://www.ajol.info/index.php/ajol/resources-for-researchers</w:t>
        </w:r>
      </w:hyperlink>
    </w:p>
    <w:p>
      <w:pPr>
        <w:pStyle w:val="Normal"/>
        <w:numPr>
          <w:ilvl w:val="0"/>
          <w:numId w:val="2"/>
        </w:numPr>
        <w:tabs>
          <w:tab w:val="clear" w:pos="709"/>
          <w:tab w:val="left" w:pos="707" w:leader="none"/>
        </w:tabs>
        <w:bidi w:val="0"/>
        <w:ind w:left="707" w:hanging="283"/>
        <w:jc w:val="left"/>
        <w:rPr/>
      </w:pPr>
      <w:r>
        <w:rPr/>
        <w:t>What is Open Access.</w:t>
        <w:br/>
      </w:r>
      <w:r>
        <w:rPr>
          <w:rStyle w:val="StrongEmphasis"/>
        </w:rPr>
        <w:t>Resource:</w:t>
      </w:r>
      <w:r>
        <w:rPr/>
        <w:t xml:space="preserve"> </w:t>
      </w:r>
      <w:hyperlink r:id="rId7" w:tgtFrame="_blank">
        <w:r>
          <w:rPr>
            <w:rStyle w:val="InternetLink"/>
            <w:color w:val="12AEE0"/>
          </w:rPr>
          <w:t>https://www.ajol.info/index.php/ajol/about-Open-Access</w:t>
        </w:r>
      </w:hyperlink>
    </w:p>
    <w:p>
      <w:pPr>
        <w:pStyle w:val="Normal"/>
        <w:numPr>
          <w:ilvl w:val="0"/>
          <w:numId w:val="2"/>
        </w:numPr>
        <w:tabs>
          <w:tab w:val="clear" w:pos="709"/>
          <w:tab w:val="left" w:pos="707" w:leader="none"/>
        </w:tabs>
        <w:bidi w:val="0"/>
        <w:ind w:left="707" w:hanging="283"/>
        <w:jc w:val="left"/>
        <w:rPr/>
      </w:pPr>
      <w:r>
        <w:rPr/>
        <w:t xml:space="preserve">Various Resources: </w:t>
      </w:r>
      <w:hyperlink r:id="rId8" w:tgtFrame="_blank">
        <w:r>
          <w:rPr>
            <w:rStyle w:val="InternetLink"/>
            <w:color w:val="12AEE0"/>
          </w:rPr>
          <w:t>https://oaaustralasia.org/resources/</w:t>
        </w:r>
      </w:hyperlink>
    </w:p>
    <w:p>
      <w:pPr>
        <w:pStyle w:val="Normal"/>
        <w:numPr>
          <w:ilvl w:val="0"/>
          <w:numId w:val="2"/>
        </w:numPr>
        <w:tabs>
          <w:tab w:val="clear" w:pos="709"/>
          <w:tab w:val="left" w:pos="707" w:leader="none"/>
        </w:tabs>
        <w:bidi w:val="0"/>
        <w:ind w:left="707" w:hanging="283"/>
        <w:jc w:val="left"/>
        <w:rPr/>
      </w:pPr>
      <w:r>
        <w:rPr/>
        <w:t>Committee on Publication Ethics (COPE) flowcharts on publication ethics (to help define the most common steps when considering allegations or evidence of scientific misconduct and other publication ethics issues).</w:t>
        <w:br/>
      </w:r>
      <w:r>
        <w:rPr>
          <w:rStyle w:val="StrongEmphasis"/>
        </w:rPr>
        <w:t>Resource:</w:t>
      </w:r>
      <w:r>
        <w:rPr/>
        <w:t xml:space="preserve"> </w:t>
      </w:r>
      <w:hyperlink r:id="rId9" w:tgtFrame="_blank">
        <w:r>
          <w:rPr>
            <w:rStyle w:val="InternetLink"/>
            <w:color w:val="12AEE0"/>
          </w:rPr>
          <w:t>https://publicationethics.org/resources/flowcharts-new/translations</w:t>
        </w:r>
      </w:hyperlink>
    </w:p>
    <w:p>
      <w:pPr>
        <w:pStyle w:val="Normal"/>
        <w:numPr>
          <w:ilvl w:val="0"/>
          <w:numId w:val="2"/>
        </w:numPr>
        <w:tabs>
          <w:tab w:val="clear" w:pos="709"/>
          <w:tab w:val="left" w:pos="707" w:leader="none"/>
        </w:tabs>
        <w:bidi w:val="0"/>
        <w:ind w:left="707" w:hanging="283"/>
        <w:jc w:val="left"/>
        <w:rPr/>
      </w:pPr>
      <w:r>
        <w:rPr/>
        <w:t>Ten Core Practices – 10 best practice guidelines for editors and journal publishers, covering issues like how to deal with allegations of misconduct; authorship and contributorship; conflicts of interest, post publication corrections, etc.</w:t>
        <w:br/>
      </w:r>
      <w:r>
        <w:rPr>
          <w:rStyle w:val="StrongEmphasis"/>
        </w:rPr>
        <w:t>Resource:</w:t>
      </w:r>
      <w:r>
        <w:rPr/>
        <w:t xml:space="preserve"> </w:t>
      </w:r>
      <w:hyperlink r:id="rId10" w:tgtFrame="_blank">
        <w:r>
          <w:rPr>
            <w:rStyle w:val="InternetLink"/>
            <w:color w:val="12AEE0"/>
          </w:rPr>
          <w:t>https://publicationethics.org/core-practices</w:t>
        </w:r>
      </w:hyperlink>
    </w:p>
    <w:p>
      <w:pPr>
        <w:pStyle w:val="Normal"/>
        <w:numPr>
          <w:ilvl w:val="0"/>
          <w:numId w:val="2"/>
        </w:numPr>
        <w:tabs>
          <w:tab w:val="clear" w:pos="709"/>
          <w:tab w:val="left" w:pos="707" w:leader="none"/>
        </w:tabs>
        <w:bidi w:val="0"/>
        <w:ind w:left="707" w:hanging="283"/>
        <w:jc w:val="left"/>
        <w:rPr/>
      </w:pPr>
      <w:r>
        <w:rPr/>
        <w:t>EQUATOR guidelines for reporting research (indispensable for authors and editors to use as a checklist and background explanation for different study designs and considerations)</w:t>
        <w:br/>
      </w:r>
      <w:r>
        <w:rPr>
          <w:rStyle w:val="StrongEmphasis"/>
        </w:rPr>
        <w:t xml:space="preserve">Resource: </w:t>
      </w:r>
      <w:hyperlink r:id="rId11" w:tgtFrame="_blank">
        <w:r>
          <w:rPr>
            <w:rStyle w:val="InternetLink"/>
            <w:color w:val="12AEE0"/>
          </w:rPr>
          <w:t>https://www.equator-network.org/</w:t>
        </w:r>
      </w:hyperlink>
    </w:p>
    <w:p>
      <w:pPr>
        <w:pStyle w:val="Normal"/>
        <w:numPr>
          <w:ilvl w:val="0"/>
          <w:numId w:val="2"/>
        </w:numPr>
        <w:tabs>
          <w:tab w:val="clear" w:pos="709"/>
          <w:tab w:val="left" w:pos="707" w:leader="none"/>
        </w:tabs>
        <w:bidi w:val="0"/>
        <w:ind w:left="707" w:hanging="283"/>
        <w:jc w:val="left"/>
        <w:rPr/>
      </w:pPr>
      <w:r>
        <w:rPr/>
        <w:t>WAME Policy on Relationships Between Journal Editors in Chief and Owners (what should editors in chief consider when taking on the editor role?)</w:t>
        <w:br/>
      </w:r>
      <w:r>
        <w:rPr>
          <w:rStyle w:val="StrongEmphasis"/>
        </w:rPr>
        <w:t xml:space="preserve">Resource: </w:t>
      </w:r>
      <w:hyperlink r:id="rId12" w:tgtFrame="_blank">
        <w:r>
          <w:rPr>
            <w:rStyle w:val="InternetLink"/>
            <w:color w:val="12AEE0"/>
          </w:rPr>
          <w:t>https://wame.org/editorial-independence</w:t>
        </w:r>
      </w:hyperlink>
    </w:p>
    <w:p>
      <w:pPr>
        <w:pStyle w:val="Normal"/>
        <w:numPr>
          <w:ilvl w:val="0"/>
          <w:numId w:val="2"/>
        </w:numPr>
        <w:tabs>
          <w:tab w:val="clear" w:pos="709"/>
          <w:tab w:val="left" w:pos="707" w:leader="none"/>
        </w:tabs>
        <w:bidi w:val="0"/>
        <w:ind w:left="707" w:hanging="283"/>
        <w:jc w:val="left"/>
        <w:rPr/>
      </w:pPr>
      <w:r>
        <w:rPr/>
        <w:t>Think.Check.Submit resource to help identify trusted resources (vs predatory/deceptive publications)</w:t>
        <w:br/>
      </w:r>
      <w:r>
        <w:rPr>
          <w:rStyle w:val="StrongEmphasis"/>
        </w:rPr>
        <w:t xml:space="preserve">Resource: </w:t>
      </w:r>
      <w:hyperlink r:id="rId13" w:tgtFrame="_blank">
        <w:r>
          <w:rPr>
            <w:rStyle w:val="InternetLink"/>
            <w:color w:val="12AEE0"/>
          </w:rPr>
          <w:t>https://thinkchecksubmit.org/ </w:t>
        </w:r>
      </w:hyperlink>
    </w:p>
    <w:p>
      <w:pPr>
        <w:pStyle w:val="Normal"/>
        <w:numPr>
          <w:ilvl w:val="0"/>
          <w:numId w:val="2"/>
        </w:numPr>
        <w:tabs>
          <w:tab w:val="clear" w:pos="709"/>
          <w:tab w:val="left" w:pos="707" w:leader="none"/>
        </w:tabs>
        <w:bidi w:val="0"/>
        <w:ind w:left="707" w:hanging="283"/>
        <w:jc w:val="left"/>
        <w:rPr/>
      </w:pPr>
      <w:r>
        <w:rPr/>
        <w:t>Council of Science Editors Sample Correspondence for an Editorial Office.</w:t>
        <w:br/>
      </w:r>
      <w:r>
        <w:rPr>
          <w:rStyle w:val="StrongEmphasis"/>
        </w:rPr>
        <w:t>Resource:</w:t>
      </w:r>
      <w:r>
        <w:rPr/>
        <w:t xml:space="preserve"> </w:t>
      </w:r>
      <w:hyperlink r:id="rId14" w:tgtFrame="_blank">
        <w:r>
          <w:rPr>
            <w:rStyle w:val="InternetLink"/>
            <w:color w:val="12AEE0"/>
          </w:rPr>
          <w:t>https://www.councilscienceeditors.org/resource-library/editorial-policies/sample-correspondence-for-an-editorial-office/</w:t>
        </w:r>
      </w:hyperlink>
    </w:p>
    <w:p>
      <w:pPr>
        <w:pStyle w:val="Normal"/>
        <w:numPr>
          <w:ilvl w:val="0"/>
          <w:numId w:val="2"/>
        </w:numPr>
        <w:tabs>
          <w:tab w:val="clear" w:pos="709"/>
          <w:tab w:val="left" w:pos="707" w:leader="none"/>
        </w:tabs>
        <w:bidi w:val="0"/>
        <w:ind w:left="707" w:hanging="283"/>
        <w:jc w:val="left"/>
        <w:rPr/>
      </w:pPr>
      <w:r>
        <w:rPr/>
        <w:t>Cooperation &amp; Liaison between Universities &amp; Editors (CLUE) Recommendations on Best Practice. Developed at the World Conferences on Research Integrity, these recommendations “aim to address issues surrounding cooperation and liaison between institutions (e.g. universities) and journals about possible and actual problems with the integrity of reported research arising before and after publication.”</w:t>
        <w:br/>
      </w:r>
      <w:r>
        <w:rPr>
          <w:rStyle w:val="StrongEmphasis"/>
        </w:rPr>
        <w:t>Resource:</w:t>
      </w:r>
      <w:r>
        <w:rPr/>
        <w:t xml:space="preserve"> </w:t>
      </w:r>
      <w:hyperlink r:id="rId15" w:tgtFrame="_blank">
        <w:r>
          <w:rPr>
            <w:rStyle w:val="InternetLink"/>
            <w:color w:val="12AEE0"/>
          </w:rPr>
          <w:t>https://doi.org/10.1186/s41073-021-00109-3</w:t>
        </w:r>
      </w:hyperlink>
    </w:p>
    <w:p>
      <w:pPr>
        <w:pStyle w:val="Normal"/>
        <w:numPr>
          <w:ilvl w:val="0"/>
          <w:numId w:val="2"/>
        </w:numPr>
        <w:tabs>
          <w:tab w:val="clear" w:pos="709"/>
          <w:tab w:val="left" w:pos="707" w:leader="none"/>
        </w:tabs>
        <w:bidi w:val="0"/>
        <w:ind w:left="707" w:hanging="283"/>
        <w:jc w:val="left"/>
        <w:rPr/>
      </w:pPr>
      <w:r>
        <w:rPr/>
        <w:t>JPPS framework that can be downloaded in English, French and Spanish, and was developed as a learning tool for journals to progress in a semi-structured approach towards increasingly complex quality practices, and the transparent sharing (and assessment) of these.</w:t>
        <w:br/>
      </w:r>
      <w:r>
        <w:rPr>
          <w:rStyle w:val="StrongEmphasis"/>
        </w:rPr>
        <w:t>Resource:</w:t>
      </w:r>
      <w:r>
        <w:rPr/>
        <w:t xml:space="preserve"> </w:t>
      </w:r>
      <w:hyperlink r:id="rId16" w:tgtFrame="_blank">
        <w:r>
          <w:rPr>
            <w:rStyle w:val="InternetLink"/>
            <w:color w:val="12AEE0"/>
          </w:rPr>
          <w:t>https://www.journalquality.info/en/about/download-jpps-framework/</w:t>
        </w:r>
      </w:hyperlink>
    </w:p>
    <w:p>
      <w:pPr>
        <w:pStyle w:val="Normal"/>
        <w:numPr>
          <w:ilvl w:val="0"/>
          <w:numId w:val="2"/>
        </w:numPr>
        <w:tabs>
          <w:tab w:val="clear" w:pos="709"/>
          <w:tab w:val="left" w:pos="707" w:leader="none"/>
        </w:tabs>
        <w:bidi w:val="0"/>
        <w:ind w:left="707" w:hanging="283"/>
        <w:jc w:val="left"/>
        <w:rPr/>
      </w:pPr>
      <w:r>
        <w:rPr/>
        <w:t>Core competencies for scientific editors of biomedical journals: consensus statement.</w:t>
        <w:br/>
      </w:r>
      <w:r>
        <w:rPr>
          <w:rStyle w:val="StrongEmphasis"/>
        </w:rPr>
        <w:t>Resource:</w:t>
      </w:r>
      <w:r>
        <w:rPr/>
        <w:t xml:space="preserve"> </w:t>
      </w:r>
      <w:hyperlink r:id="rId17" w:tgtFrame="_blank">
        <w:r>
          <w:rPr>
            <w:rStyle w:val="InternetLink"/>
            <w:color w:val="12AEE0"/>
          </w:rPr>
          <w:t>https://bmcmedicine.biomedcentral.com/articles/10.1186/s12916-017-0927-0/</w:t>
        </w:r>
      </w:hyperlink>
      <w:r>
        <w:rPr/>
        <w:t xml:space="preserve"> </w:t>
      </w:r>
    </w:p>
    <w:p>
      <w:pPr>
        <w:pStyle w:val="Normal"/>
        <w:numPr>
          <w:ilvl w:val="0"/>
          <w:numId w:val="2"/>
        </w:numPr>
        <w:tabs>
          <w:tab w:val="clear" w:pos="709"/>
          <w:tab w:val="left" w:pos="707" w:leader="none"/>
        </w:tabs>
        <w:bidi w:val="0"/>
        <w:ind w:left="707" w:hanging="283"/>
        <w:jc w:val="left"/>
        <w:rPr/>
      </w:pPr>
      <w:hyperlink r:id="rId18" w:tgtFrame="_blank">
        <w:r>
          <w:rPr>
            <w:rStyle w:val="InternetLink"/>
            <w:color w:val="000000"/>
          </w:rPr>
          <w:t xml:space="preserve">Handbook for Journal Editors. </w:t>
        </w:r>
        <w:r>
          <w:rPr>
            <w:rStyle w:val="InternetLink"/>
            <w:color w:val="12AEE0"/>
          </w:rPr>
          <w:t>https://www.inasp.info/editorshandbook</w:t>
        </w:r>
      </w:hyperlink>
      <w:r>
        <w:rPr/>
        <w:t xml:space="preserve"> – </w:t>
      </w:r>
      <w:hyperlink r:id="rId19" w:tgtFrame="_blank">
        <w:r>
          <w:rPr>
            <w:rStyle w:val="InternetLink"/>
            <w:color w:val="12AEE0"/>
          </w:rPr>
          <w:t>Handbook for Journal Editors</w:t>
        </w:r>
      </w:hyperlink>
      <w:r>
        <w:rPr/>
        <w:t xml:space="preserve"> by INASP </w:t>
      </w:r>
    </w:p>
    <w:p>
      <w:pPr>
        <w:pStyle w:val="Normal"/>
        <w:numPr>
          <w:ilvl w:val="0"/>
          <w:numId w:val="2"/>
        </w:numPr>
        <w:tabs>
          <w:tab w:val="clear" w:pos="709"/>
          <w:tab w:val="left" w:pos="707" w:leader="none"/>
        </w:tabs>
        <w:bidi w:val="0"/>
        <w:ind w:left="707" w:hanging="283"/>
        <w:jc w:val="left"/>
        <w:rPr/>
      </w:pPr>
      <w:bookmarkStart w:id="5" w:name="yui_3_17_2_1_1662535824834_613"/>
      <w:bookmarkEnd w:id="5"/>
      <w:r>
        <w:rPr/>
        <w:t>Journal Publishing Guide: Publishing Best Practices Checklist by the University of Toronto Libraries Journal Production Services.</w:t>
        <w:br/>
      </w:r>
      <w:r>
        <w:rPr>
          <w:rStyle w:val="StrongEmphasis"/>
        </w:rPr>
        <w:t>Resource:</w:t>
      </w:r>
      <w:r>
        <w:rPr/>
        <w:t xml:space="preserve"> </w:t>
      </w:r>
      <w:hyperlink r:id="rId20" w:tgtFrame="_blank">
        <w:r>
          <w:rPr>
            <w:rStyle w:val="InternetLink"/>
            <w:color w:val="12AEE0"/>
          </w:rPr>
          <w:t>https://jps.library.utoronto.ca/index.php/pubguide/publishingbestpractices</w:t>
        </w:r>
      </w:hyperlink>
      <w:r>
        <w:rPr/>
        <w:t xml:space="preserve"> </w:t>
      </w:r>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AU" w:eastAsia="zh-CN" w:bidi="hi-IN"/>
    </w:rPr>
  </w:style>
  <w:style w:type="paragraph" w:styleId="Heading2">
    <w:name w:val="Heading 2"/>
    <w:basedOn w:val="Heading"/>
    <w:next w:val="TextBody"/>
    <w:qFormat/>
    <w:pPr>
      <w:spacing w:before="200" w:after="120"/>
      <w:outlineLvl w:val="1"/>
    </w:pPr>
    <w:rPr>
      <w:rFonts w:ascii="Liberation Serif" w:hAnsi="Liberation Serif" w:eastAsia="NSimSun" w:cs="Arial"/>
      <w:b/>
      <w:bCs/>
      <w:sz w:val="36"/>
      <w:szCs w:val="36"/>
    </w:rPr>
  </w:style>
  <w:style w:type="character" w:styleId="NumberingSymbols">
    <w:name w:val="Numbering Symbols"/>
    <w:qFormat/>
    <w:rPr/>
  </w:style>
  <w:style w:type="character" w:styleId="InternetLink">
    <w:name w:val="Hyperlink"/>
    <w:rPr>
      <w:color w:val="000080"/>
      <w:u w:val="single"/>
      <w:lang w:val="zxx" w:eastAsia="zxx" w:bidi="zxx"/>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ublicationethics.org/resources/guidelines-new/principles-transparency-and-best-practice-scholarly-publishing" TargetMode="External"/><Relationship Id="rId3" Type="http://schemas.openxmlformats.org/officeDocument/2006/relationships/hyperlink" Target="https://doaj.org/apply/transparency/" TargetMode="External"/><Relationship Id="rId4" Type="http://schemas.openxmlformats.org/officeDocument/2006/relationships/hyperlink" Target="https://oaspa.org/information-resources/principles-of-transparency-and-best-practice-in-scholarly-publishing/" TargetMode="External"/><Relationship Id="rId5" Type="http://schemas.openxmlformats.org/officeDocument/2006/relationships/hyperlink" Target="https://wame.org/principles-of-transparency-and-best-practice-in-scholarly-publishin" TargetMode="External"/><Relationship Id="rId6" Type="http://schemas.openxmlformats.org/officeDocument/2006/relationships/hyperlink" Target="https://www.ajol.info/index.php/ajol/resources-for-researchers" TargetMode="External"/><Relationship Id="rId7" Type="http://schemas.openxmlformats.org/officeDocument/2006/relationships/hyperlink" Target="https://www.ajol.info/index.php/ajol/about-Open-Access" TargetMode="External"/><Relationship Id="rId8" Type="http://schemas.openxmlformats.org/officeDocument/2006/relationships/hyperlink" Target="https://oaaustralasia.org/resources/" TargetMode="External"/><Relationship Id="rId9" Type="http://schemas.openxmlformats.org/officeDocument/2006/relationships/hyperlink" Target="https://publicationethics.org/resources/flowcharts-new/translations" TargetMode="External"/><Relationship Id="rId10" Type="http://schemas.openxmlformats.org/officeDocument/2006/relationships/hyperlink" Target="https://publicationethics.org/core-practices" TargetMode="External"/><Relationship Id="rId11" Type="http://schemas.openxmlformats.org/officeDocument/2006/relationships/hyperlink" Target="https://www.equator-network.org/" TargetMode="External"/><Relationship Id="rId12" Type="http://schemas.openxmlformats.org/officeDocument/2006/relationships/hyperlink" Target="https://wame.org/editorial-independence" TargetMode="External"/><Relationship Id="rId13" Type="http://schemas.openxmlformats.org/officeDocument/2006/relationships/hyperlink" Target="https://thinkchecksubmit.org/" TargetMode="External"/><Relationship Id="rId14" Type="http://schemas.openxmlformats.org/officeDocument/2006/relationships/hyperlink" Target="https://www.councilscienceeditors.org/resource-library/editorial-policies/sample-correspondence-for-an-editorial-office/" TargetMode="External"/><Relationship Id="rId15" Type="http://schemas.openxmlformats.org/officeDocument/2006/relationships/hyperlink" Target="https://doi.org/10.1186/s41073-021-00109-3" TargetMode="External"/><Relationship Id="rId16" Type="http://schemas.openxmlformats.org/officeDocument/2006/relationships/hyperlink" Target="https://www.journalquality.info/en/about/download-jpps-framework/" TargetMode="External"/><Relationship Id="rId17" Type="http://schemas.openxmlformats.org/officeDocument/2006/relationships/hyperlink" Target="https://bmcmedicine.biomedcentral.com/articles/10.1186/s12916-017-0927-0/" TargetMode="External"/><Relationship Id="rId18" Type="http://schemas.openxmlformats.org/officeDocument/2006/relationships/hyperlink" Target="https://www.inasp.info/editorshandbook" TargetMode="External"/><Relationship Id="rId19" Type="http://schemas.openxmlformats.org/officeDocument/2006/relationships/hyperlink" Target="https://www.inasp.info/editorshandbook" TargetMode="External"/><Relationship Id="rId20" Type="http://schemas.openxmlformats.org/officeDocument/2006/relationships/hyperlink" Target="https://jps.library.utoronto.ca/index.php/pubguide/publishingbestpractices" TargetMode="Externa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LibreOffice/7.2.2.2$Windows_X86_64 LibreOffice_project/02b2acce88a210515b4a5bb2e46cbfb63fe97d56</Application>
  <AppVersion>15.0000</AppVersion>
  <Pages>2</Pages>
  <Words>348</Words>
  <Characters>2891</Characters>
  <CharactersWithSpaces>3214</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2022-09-10T16:23:28Z</dcterms:created>
  <dc:creator>Richard Heller</dc:creator>
  <dc:description/>
  <dc:language>en-AU</dc:language>
  <cp:lastModifiedBy>Richard Heller</cp:lastModifiedBy>
  <dcterms:modified xsi:type="dcterms:W3CDTF">2022-09-10T16:25:35Z</dcterms:modified>
  <cp:revision>2</cp:revision>
  <dc:subject/>
  <dc:title/>
</cp:coreProperties>
</file>